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400" w:lineRule="atLeast"/>
        <w:rPr>
          <w:rFonts w:ascii="宋体" w:hAnsi="宋体" w:cs="宋体"/>
          <w:color w:val="000000"/>
          <w:kern w:val="0"/>
          <w:sz w:val="24"/>
          <w:szCs w:val="24"/>
        </w:rPr>
      </w:pPr>
      <w:r>
        <w:rPr>
          <w:rFonts w:hint="eastAsia" w:ascii="宋体" w:hAnsi="宋体" w:cs="宋体"/>
          <w:color w:val="000000"/>
          <w:kern w:val="0"/>
          <w:sz w:val="24"/>
          <w:szCs w:val="24"/>
        </w:rPr>
        <w:t>附件2</w:t>
      </w:r>
    </w:p>
    <w:p>
      <w:pPr>
        <w:overflowPunct w:val="0"/>
        <w:spacing w:line="0" w:lineRule="atLeast"/>
        <w:jc w:val="center"/>
        <w:rPr>
          <w:rFonts w:ascii="宋体" w:hAnsi="宋体" w:cs="方正小标宋_GBK"/>
          <w:color w:val="000000"/>
          <w:sz w:val="36"/>
          <w:szCs w:val="36"/>
        </w:rPr>
      </w:pPr>
      <w:r>
        <w:rPr>
          <w:rFonts w:hint="eastAsia" w:ascii="宋体" w:hAnsi="宋体" w:cs="方正小标宋_GBK"/>
          <w:color w:val="000000"/>
          <w:sz w:val="36"/>
          <w:szCs w:val="36"/>
        </w:rPr>
        <w:t>深圳市</w:t>
      </w:r>
      <w:r>
        <w:rPr>
          <w:rFonts w:ascii="宋体" w:hAnsi="宋体" w:cs="方正小标宋_GBK"/>
          <w:color w:val="000000"/>
          <w:sz w:val="36"/>
          <w:szCs w:val="36"/>
        </w:rPr>
        <w:t>“</w:t>
      </w:r>
      <w:r>
        <w:rPr>
          <w:rFonts w:hint="eastAsia" w:ascii="宋体" w:hAnsi="宋体" w:cs="方正小标宋_GBK"/>
          <w:color w:val="000000"/>
          <w:sz w:val="36"/>
          <w:szCs w:val="36"/>
        </w:rPr>
        <w:t>证照分离</w:t>
      </w:r>
      <w:r>
        <w:rPr>
          <w:rFonts w:ascii="宋体" w:hAnsi="宋体" w:cs="方正小标宋_GBK"/>
          <w:color w:val="000000"/>
          <w:sz w:val="36"/>
          <w:szCs w:val="36"/>
        </w:rPr>
        <w:t>”</w:t>
      </w:r>
      <w:r>
        <w:rPr>
          <w:rFonts w:hint="eastAsia" w:ascii="宋体" w:hAnsi="宋体" w:cs="方正小标宋_GBK"/>
          <w:color w:val="000000"/>
          <w:sz w:val="36"/>
          <w:szCs w:val="36"/>
        </w:rPr>
        <w:t>改革</w:t>
      </w:r>
      <w:r>
        <w:rPr>
          <w:rFonts w:ascii="宋体" w:hAnsi="宋体" w:cs="方正小标宋_GBK"/>
          <w:color w:val="000000"/>
          <w:sz w:val="36"/>
          <w:szCs w:val="36"/>
        </w:rPr>
        <w:t>全</w:t>
      </w:r>
      <w:r>
        <w:rPr>
          <w:rFonts w:hint="eastAsia" w:ascii="宋体" w:hAnsi="宋体" w:cs="方正小标宋_GBK"/>
          <w:color w:val="000000"/>
          <w:sz w:val="36"/>
          <w:szCs w:val="36"/>
        </w:rPr>
        <w:t>覆盖</w:t>
      </w:r>
      <w:r>
        <w:rPr>
          <w:rFonts w:ascii="宋体" w:hAnsi="宋体" w:cs="方正小标宋_GBK"/>
          <w:color w:val="000000"/>
          <w:sz w:val="36"/>
          <w:szCs w:val="36"/>
        </w:rPr>
        <w:t>试点事项清单</w:t>
      </w:r>
    </w:p>
    <w:p>
      <w:pPr>
        <w:overflowPunct w:val="0"/>
        <w:spacing w:after="156" w:afterLines="50" w:line="0" w:lineRule="atLeast"/>
        <w:jc w:val="center"/>
        <w:rPr>
          <w:rFonts w:hint="eastAsia" w:ascii="华文楷体" w:hAnsi="华文楷体" w:eastAsia="华文楷体" w:cs="方正小标宋_GBK"/>
          <w:color w:val="000000"/>
          <w:sz w:val="32"/>
          <w:szCs w:val="32"/>
        </w:rPr>
      </w:pPr>
      <w:bookmarkStart w:id="0" w:name="_GoBack"/>
      <w:bookmarkEnd w:id="0"/>
      <w:r>
        <w:rPr>
          <w:rFonts w:hint="eastAsia" w:ascii="华文楷体" w:hAnsi="华文楷体" w:eastAsia="华文楷体" w:cs="方正小标宋_GBK"/>
          <w:color w:val="000000"/>
          <w:sz w:val="32"/>
          <w:szCs w:val="32"/>
        </w:rPr>
        <w:t>（地方层面设定，2019年版）</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643"/>
        <w:gridCol w:w="873"/>
        <w:gridCol w:w="844"/>
        <w:gridCol w:w="873"/>
        <w:gridCol w:w="661"/>
        <w:gridCol w:w="647"/>
        <w:gridCol w:w="633"/>
        <w:gridCol w:w="660"/>
        <w:gridCol w:w="2496"/>
        <w:gridCol w:w="2714"/>
        <w:gridCol w:w="912"/>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96" w:type="dxa"/>
            <w:vMerge w:val="restart"/>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643" w:type="dxa"/>
            <w:vMerge w:val="restart"/>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省级主管部门</w:t>
            </w:r>
          </w:p>
        </w:tc>
        <w:tc>
          <w:tcPr>
            <w:tcW w:w="873" w:type="dxa"/>
            <w:vMerge w:val="restart"/>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改革事项</w:t>
            </w:r>
          </w:p>
        </w:tc>
        <w:tc>
          <w:tcPr>
            <w:tcW w:w="844" w:type="dxa"/>
            <w:vMerge w:val="restart"/>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审批层级和部门</w:t>
            </w:r>
          </w:p>
        </w:tc>
        <w:tc>
          <w:tcPr>
            <w:tcW w:w="873" w:type="dxa"/>
            <w:vMerge w:val="restart"/>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设定依据</w:t>
            </w:r>
          </w:p>
        </w:tc>
        <w:tc>
          <w:tcPr>
            <w:tcW w:w="2601" w:type="dxa"/>
            <w:gridSpan w:val="4"/>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改革方式</w:t>
            </w:r>
          </w:p>
        </w:tc>
        <w:tc>
          <w:tcPr>
            <w:tcW w:w="2496" w:type="dxa"/>
            <w:vMerge w:val="restart"/>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具体改革措施</w:t>
            </w:r>
          </w:p>
        </w:tc>
        <w:tc>
          <w:tcPr>
            <w:tcW w:w="2714" w:type="dxa"/>
            <w:vMerge w:val="restart"/>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加强事中事后监管措施</w:t>
            </w:r>
          </w:p>
        </w:tc>
        <w:tc>
          <w:tcPr>
            <w:tcW w:w="912" w:type="dxa"/>
            <w:vMerge w:val="restart"/>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我市牵头单位</w:t>
            </w:r>
          </w:p>
        </w:tc>
        <w:tc>
          <w:tcPr>
            <w:tcW w:w="882" w:type="dxa"/>
            <w:vMerge w:val="restart"/>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96" w:type="dxa"/>
            <w:vMerge w:val="continue"/>
            <w:noWrap w:val="0"/>
            <w:vAlign w:val="center"/>
          </w:tcPr>
          <w:p>
            <w:pPr>
              <w:spacing w:line="260" w:lineRule="exact"/>
              <w:ind w:left="-63" w:leftChars="-30" w:right="-63" w:rightChars="-30"/>
              <w:jc w:val="center"/>
              <w:rPr>
                <w:rFonts w:ascii="宋体" w:hAnsi="宋体"/>
                <w:sz w:val="18"/>
                <w:szCs w:val="18"/>
              </w:rPr>
            </w:pPr>
          </w:p>
        </w:tc>
        <w:tc>
          <w:tcPr>
            <w:tcW w:w="643" w:type="dxa"/>
            <w:vMerge w:val="continue"/>
            <w:noWrap w:val="0"/>
            <w:vAlign w:val="center"/>
          </w:tcPr>
          <w:p>
            <w:pPr>
              <w:spacing w:line="260" w:lineRule="exact"/>
              <w:ind w:left="-63" w:leftChars="-30" w:right="-63" w:rightChars="-30"/>
              <w:jc w:val="center"/>
              <w:rPr>
                <w:rFonts w:ascii="宋体" w:hAnsi="宋体"/>
                <w:sz w:val="18"/>
                <w:szCs w:val="18"/>
              </w:rPr>
            </w:pPr>
          </w:p>
        </w:tc>
        <w:tc>
          <w:tcPr>
            <w:tcW w:w="873" w:type="dxa"/>
            <w:vMerge w:val="continue"/>
            <w:noWrap w:val="0"/>
            <w:vAlign w:val="center"/>
          </w:tcPr>
          <w:p>
            <w:pPr>
              <w:spacing w:line="260" w:lineRule="exact"/>
              <w:ind w:left="-63" w:leftChars="-30" w:right="-63" w:rightChars="-30"/>
              <w:jc w:val="center"/>
              <w:rPr>
                <w:rFonts w:ascii="宋体" w:hAnsi="宋体"/>
                <w:sz w:val="18"/>
                <w:szCs w:val="18"/>
              </w:rPr>
            </w:pPr>
          </w:p>
        </w:tc>
        <w:tc>
          <w:tcPr>
            <w:tcW w:w="844" w:type="dxa"/>
            <w:vMerge w:val="continue"/>
            <w:noWrap w:val="0"/>
            <w:vAlign w:val="center"/>
          </w:tcPr>
          <w:p>
            <w:pPr>
              <w:spacing w:line="260" w:lineRule="exact"/>
              <w:ind w:left="-63" w:leftChars="-30" w:right="-63" w:rightChars="-30"/>
              <w:jc w:val="center"/>
              <w:rPr>
                <w:rFonts w:ascii="宋体" w:hAnsi="宋体"/>
                <w:sz w:val="18"/>
                <w:szCs w:val="18"/>
              </w:rPr>
            </w:pPr>
          </w:p>
        </w:tc>
        <w:tc>
          <w:tcPr>
            <w:tcW w:w="873" w:type="dxa"/>
            <w:vMerge w:val="continue"/>
            <w:noWrap w:val="0"/>
            <w:vAlign w:val="center"/>
          </w:tcPr>
          <w:p>
            <w:pPr>
              <w:spacing w:line="260" w:lineRule="exact"/>
              <w:ind w:left="-63" w:leftChars="-30" w:right="-63" w:rightChars="-30"/>
              <w:jc w:val="center"/>
              <w:rPr>
                <w:rFonts w:ascii="宋体" w:hAnsi="宋体"/>
                <w:sz w:val="18"/>
                <w:szCs w:val="18"/>
              </w:rPr>
            </w:pPr>
          </w:p>
        </w:tc>
        <w:tc>
          <w:tcPr>
            <w:tcW w:w="661"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直接取消审批</w:t>
            </w:r>
          </w:p>
        </w:tc>
        <w:tc>
          <w:tcPr>
            <w:tcW w:w="647"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审批改为备案</w:t>
            </w:r>
          </w:p>
        </w:tc>
        <w:tc>
          <w:tcPr>
            <w:tcW w:w="633"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实行告知承诺</w:t>
            </w:r>
          </w:p>
        </w:tc>
        <w:tc>
          <w:tcPr>
            <w:tcW w:w="660"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优化审批服务</w:t>
            </w:r>
          </w:p>
        </w:tc>
        <w:tc>
          <w:tcPr>
            <w:tcW w:w="2496" w:type="dxa"/>
            <w:vMerge w:val="continue"/>
            <w:noWrap w:val="0"/>
            <w:vAlign w:val="center"/>
          </w:tcPr>
          <w:p>
            <w:pPr>
              <w:spacing w:line="260" w:lineRule="exact"/>
              <w:ind w:left="-63" w:leftChars="-30" w:right="-63" w:rightChars="-30"/>
              <w:jc w:val="center"/>
              <w:rPr>
                <w:rFonts w:ascii="宋体" w:hAnsi="宋体"/>
                <w:sz w:val="18"/>
                <w:szCs w:val="18"/>
              </w:rPr>
            </w:pPr>
          </w:p>
        </w:tc>
        <w:tc>
          <w:tcPr>
            <w:tcW w:w="2714" w:type="dxa"/>
            <w:vMerge w:val="continue"/>
            <w:noWrap w:val="0"/>
            <w:vAlign w:val="center"/>
          </w:tcPr>
          <w:p>
            <w:pPr>
              <w:spacing w:line="260" w:lineRule="exact"/>
              <w:ind w:left="-63" w:leftChars="-30" w:right="-63" w:rightChars="-30"/>
              <w:jc w:val="center"/>
              <w:rPr>
                <w:rFonts w:ascii="宋体" w:hAnsi="宋体"/>
                <w:sz w:val="18"/>
                <w:szCs w:val="18"/>
              </w:rPr>
            </w:pPr>
          </w:p>
        </w:tc>
        <w:tc>
          <w:tcPr>
            <w:tcW w:w="912" w:type="dxa"/>
            <w:vMerge w:val="continue"/>
            <w:noWrap w:val="0"/>
            <w:vAlign w:val="center"/>
          </w:tcPr>
          <w:p>
            <w:pPr>
              <w:spacing w:line="260" w:lineRule="exact"/>
              <w:ind w:left="-63" w:leftChars="-30" w:right="-63" w:rightChars="-30"/>
              <w:jc w:val="center"/>
              <w:rPr>
                <w:rFonts w:ascii="宋体" w:hAnsi="宋体"/>
                <w:sz w:val="18"/>
                <w:szCs w:val="18"/>
              </w:rPr>
            </w:pPr>
          </w:p>
        </w:tc>
        <w:tc>
          <w:tcPr>
            <w:tcW w:w="882" w:type="dxa"/>
            <w:vMerge w:val="continue"/>
            <w:noWrap w:val="0"/>
            <w:vAlign w:val="center"/>
          </w:tcPr>
          <w:p>
            <w:pPr>
              <w:spacing w:line="260" w:lineRule="exact"/>
              <w:ind w:left="-63" w:leftChars="-30" w:right="-63" w:rightChars="-3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noWrap w:val="0"/>
            <w:vAlign w:val="center"/>
          </w:tcPr>
          <w:p>
            <w:pPr>
              <w:widowControl/>
              <w:spacing w:line="260" w:lineRule="exact"/>
              <w:ind w:left="-63" w:leftChars="-30" w:right="-63" w:rightChars="-3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643" w:type="dxa"/>
            <w:noWrap w:val="0"/>
            <w:vAlign w:val="center"/>
          </w:tcPr>
          <w:p>
            <w:pPr>
              <w:widowControl/>
              <w:spacing w:line="26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广东省</w:t>
            </w:r>
            <w:r>
              <w:rPr>
                <w:rFonts w:ascii="宋体" w:hAnsi="宋体" w:cs="宋体"/>
                <w:color w:val="000000"/>
                <w:sz w:val="18"/>
                <w:szCs w:val="18"/>
                <w:lang w:bidi="ar"/>
              </w:rPr>
              <w:t>公安厅</w:t>
            </w:r>
          </w:p>
        </w:tc>
        <w:tc>
          <w:tcPr>
            <w:tcW w:w="873" w:type="dxa"/>
            <w:noWrap w:val="0"/>
            <w:vAlign w:val="center"/>
          </w:tcPr>
          <w:p>
            <w:pPr>
              <w:widowControl/>
              <w:spacing w:line="26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安全技术防范系统设计、施工、维修资格证核发</w:t>
            </w:r>
          </w:p>
        </w:tc>
        <w:tc>
          <w:tcPr>
            <w:tcW w:w="844" w:type="dxa"/>
            <w:noWrap w:val="0"/>
            <w:vAlign w:val="center"/>
          </w:tcPr>
          <w:p>
            <w:pPr>
              <w:spacing w:line="260" w:lineRule="exact"/>
              <w:ind w:left="-63" w:leftChars="-30" w:right="-63" w:rightChars="-30"/>
              <w:rPr>
                <w:rFonts w:ascii="宋体" w:hAnsi="宋体" w:cs="宋体"/>
                <w:color w:val="000000"/>
                <w:sz w:val="18"/>
                <w:szCs w:val="18"/>
                <w:lang w:bidi="ar"/>
              </w:rPr>
            </w:pPr>
            <w:r>
              <w:rPr>
                <w:rFonts w:hint="eastAsia" w:ascii="宋体" w:hAnsi="宋体" w:cs="宋体"/>
                <w:color w:val="000000"/>
                <w:sz w:val="18"/>
                <w:szCs w:val="18"/>
                <w:lang w:bidi="ar"/>
              </w:rPr>
              <w:t>省级、市级公安机关</w:t>
            </w:r>
          </w:p>
        </w:tc>
        <w:tc>
          <w:tcPr>
            <w:tcW w:w="873" w:type="dxa"/>
            <w:noWrap w:val="0"/>
            <w:vAlign w:val="center"/>
          </w:tcPr>
          <w:p>
            <w:pPr>
              <w:spacing w:line="260" w:lineRule="exact"/>
              <w:ind w:left="-63" w:leftChars="-30" w:right="-63" w:rightChars="-30"/>
              <w:rPr>
                <w:rFonts w:ascii="宋体" w:hAnsi="宋体" w:cs="宋体"/>
                <w:color w:val="000000"/>
                <w:sz w:val="18"/>
                <w:szCs w:val="18"/>
                <w:lang w:bidi="ar"/>
              </w:rPr>
            </w:pPr>
            <w:r>
              <w:rPr>
                <w:rFonts w:hint="eastAsia" w:ascii="宋体" w:hAnsi="宋体" w:cs="宋体"/>
                <w:color w:val="000000"/>
                <w:sz w:val="18"/>
                <w:szCs w:val="18"/>
                <w:lang w:bidi="ar"/>
              </w:rPr>
              <w:t>《广东省安全技术防范管理条例》（2010年修改）</w:t>
            </w:r>
          </w:p>
        </w:tc>
        <w:tc>
          <w:tcPr>
            <w:tcW w:w="661" w:type="dxa"/>
            <w:noWrap w:val="0"/>
            <w:vAlign w:val="center"/>
          </w:tcPr>
          <w:p>
            <w:pPr>
              <w:spacing w:line="260" w:lineRule="exact"/>
              <w:ind w:left="-63" w:leftChars="-30" w:right="-63" w:rightChars="-30"/>
              <w:rPr>
                <w:rFonts w:ascii="宋体" w:hAnsi="宋体" w:cs="宋体"/>
                <w:color w:val="000000"/>
                <w:sz w:val="18"/>
                <w:szCs w:val="18"/>
                <w:lang w:bidi="ar"/>
              </w:rPr>
            </w:pPr>
          </w:p>
        </w:tc>
        <w:tc>
          <w:tcPr>
            <w:tcW w:w="647" w:type="dxa"/>
            <w:noWrap w:val="0"/>
            <w:vAlign w:val="center"/>
          </w:tcPr>
          <w:p>
            <w:pPr>
              <w:spacing w:line="260" w:lineRule="exact"/>
              <w:ind w:left="-63" w:leftChars="-30" w:right="-63" w:rightChars="-30"/>
              <w:rPr>
                <w:rFonts w:ascii="宋体" w:hAnsi="宋体" w:cs="宋体"/>
                <w:color w:val="000000"/>
                <w:sz w:val="18"/>
                <w:szCs w:val="18"/>
                <w:lang w:bidi="ar"/>
              </w:rPr>
            </w:pPr>
          </w:p>
        </w:tc>
        <w:tc>
          <w:tcPr>
            <w:tcW w:w="633" w:type="dxa"/>
            <w:noWrap w:val="0"/>
            <w:vAlign w:val="center"/>
          </w:tcPr>
          <w:p>
            <w:pPr>
              <w:spacing w:line="260" w:lineRule="exact"/>
              <w:ind w:left="-63" w:leftChars="-30" w:right="-63" w:rightChars="-30"/>
              <w:rPr>
                <w:rFonts w:ascii="宋体" w:hAnsi="宋体" w:cs="宋体"/>
                <w:color w:val="000000"/>
                <w:sz w:val="18"/>
                <w:szCs w:val="18"/>
                <w:lang w:bidi="ar"/>
              </w:rPr>
            </w:pPr>
          </w:p>
        </w:tc>
        <w:tc>
          <w:tcPr>
            <w:tcW w:w="660" w:type="dxa"/>
            <w:noWrap w:val="0"/>
            <w:vAlign w:val="center"/>
          </w:tcPr>
          <w:p>
            <w:pPr>
              <w:widowControl/>
              <w:spacing w:line="26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w:t>
            </w:r>
            <w:r>
              <w:rPr>
                <w:rFonts w:ascii="宋体" w:hAnsi="宋体" w:cs="宋体"/>
                <w:color w:val="000000"/>
                <w:sz w:val="18"/>
                <w:szCs w:val="18"/>
                <w:lang w:bidi="ar"/>
              </w:rPr>
              <w:t>（</w:t>
            </w:r>
            <w:r>
              <w:rPr>
                <w:rFonts w:hint="eastAsia" w:ascii="宋体" w:hAnsi="宋体" w:cs="宋体"/>
                <w:color w:val="000000"/>
                <w:sz w:val="18"/>
                <w:szCs w:val="18"/>
                <w:lang w:bidi="ar"/>
              </w:rPr>
              <w:t>全市</w:t>
            </w:r>
            <w:r>
              <w:rPr>
                <w:rFonts w:ascii="宋体" w:hAnsi="宋体" w:cs="宋体"/>
                <w:color w:val="000000"/>
                <w:sz w:val="18"/>
                <w:szCs w:val="18"/>
                <w:lang w:bidi="ar"/>
              </w:rPr>
              <w:t>范围内）</w:t>
            </w:r>
          </w:p>
        </w:tc>
        <w:tc>
          <w:tcPr>
            <w:tcW w:w="2496" w:type="dxa"/>
            <w:noWrap w:val="0"/>
            <w:vAlign w:val="center"/>
          </w:tcPr>
          <w:p>
            <w:pPr>
              <w:widowControl/>
              <w:spacing w:line="246"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1．下放审批权限。将“省内单位三级、四级安全技术防范系统设计、施工、维修资格证核发”事项按照属地管理原则下放地市审批；将“省内单位一级、二级安全技术防范系统设计、施工、维修资格证核发”事项委托地市审批。</w:t>
            </w:r>
          </w:p>
          <w:p>
            <w:pPr>
              <w:widowControl/>
              <w:spacing w:line="246" w:lineRule="exact"/>
              <w:ind w:left="-63" w:leftChars="-30" w:right="-63" w:rightChars="-30"/>
              <w:textAlignment w:val="center"/>
              <w:rPr>
                <w:rFonts w:ascii="宋体" w:hAnsi="宋体"/>
                <w:sz w:val="18"/>
                <w:szCs w:val="18"/>
              </w:rPr>
            </w:pPr>
            <w:r>
              <w:rPr>
                <w:rFonts w:hint="eastAsia" w:ascii="宋体" w:hAnsi="宋体" w:cs="宋体"/>
                <w:color w:val="000000"/>
                <w:spacing w:val="-8"/>
                <w:sz w:val="18"/>
                <w:szCs w:val="18"/>
                <w:lang w:bidi="ar"/>
              </w:rPr>
              <w:t>2．压减审批要件和审批材料。</w:t>
            </w:r>
            <w:r>
              <w:rPr>
                <w:rFonts w:hint="eastAsia" w:ascii="宋体" w:hAnsi="宋体" w:cs="宋体"/>
                <w:color w:val="000000"/>
                <w:sz w:val="18"/>
                <w:szCs w:val="18"/>
                <w:lang w:bidi="ar"/>
              </w:rPr>
              <w:t>将申请资料中的“单位简介”“系统质量管理制度”“系统维护与维修保养服务措施”等材料减免。审批时限由30个工作日缩减至15个工作日。</w:t>
            </w:r>
          </w:p>
        </w:tc>
        <w:tc>
          <w:tcPr>
            <w:tcW w:w="2714" w:type="dxa"/>
            <w:noWrap w:val="0"/>
            <w:vAlign w:val="center"/>
          </w:tcPr>
          <w:p>
            <w:pPr>
              <w:widowControl/>
              <w:spacing w:line="26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1．全面落实“双随机、一公开”监管、跨部门联合监管和“互联网＋监管”。</w:t>
            </w:r>
          </w:p>
          <w:p>
            <w:pPr>
              <w:widowControl/>
              <w:spacing w:line="26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2．强化社会信用监督，建立统一的“黑名单”制度，对失信主体在行业准入环节依法实施限制或禁入。</w:t>
            </w:r>
          </w:p>
          <w:p>
            <w:pPr>
              <w:spacing w:line="260" w:lineRule="exact"/>
              <w:ind w:left="-63" w:leftChars="-30" w:right="-63" w:rightChars="-30"/>
              <w:rPr>
                <w:rFonts w:ascii="宋体" w:hAnsi="宋体"/>
                <w:sz w:val="18"/>
                <w:szCs w:val="18"/>
              </w:rPr>
            </w:pPr>
            <w:r>
              <w:rPr>
                <w:rFonts w:hint="eastAsia" w:ascii="宋体" w:hAnsi="宋体" w:cs="宋体"/>
                <w:color w:val="000000"/>
                <w:sz w:val="18"/>
                <w:szCs w:val="18"/>
                <w:lang w:bidi="ar"/>
              </w:rPr>
              <w:t>3．发挥社会监督作用，引导社会力量参与市场秩序治理，共同推进联合惩戒等市场禁入措施落到实处。</w:t>
            </w:r>
          </w:p>
        </w:tc>
        <w:tc>
          <w:tcPr>
            <w:tcW w:w="912" w:type="dxa"/>
            <w:noWrap w:val="0"/>
            <w:vAlign w:val="center"/>
          </w:tcPr>
          <w:p>
            <w:pPr>
              <w:widowControl/>
              <w:spacing w:line="260" w:lineRule="exact"/>
              <w:ind w:left="-63" w:leftChars="-30" w:right="-63" w:rightChars="-30"/>
              <w:jc w:val="center"/>
              <w:textAlignment w:val="center"/>
              <w:rPr>
                <w:rFonts w:hint="eastAsia" w:ascii="宋体" w:hAnsi="宋体"/>
                <w:sz w:val="18"/>
                <w:szCs w:val="18"/>
              </w:rPr>
            </w:pPr>
            <w:r>
              <w:rPr>
                <w:rFonts w:hint="eastAsia" w:ascii="宋体" w:hAnsi="宋体" w:cs="宋体"/>
                <w:color w:val="000000"/>
                <w:sz w:val="18"/>
                <w:szCs w:val="18"/>
                <w:lang w:bidi="ar"/>
              </w:rPr>
              <w:t>市公安局</w:t>
            </w:r>
          </w:p>
        </w:tc>
        <w:tc>
          <w:tcPr>
            <w:tcW w:w="882" w:type="dxa"/>
            <w:noWrap w:val="0"/>
            <w:vAlign w:val="center"/>
          </w:tcPr>
          <w:p>
            <w:pPr>
              <w:spacing w:line="260" w:lineRule="exact"/>
              <w:ind w:left="-63" w:leftChars="-30" w:right="-63" w:rightChars="-30"/>
              <w:rPr>
                <w:rFonts w:ascii="宋体" w:hAnsi="宋体"/>
                <w:sz w:val="18"/>
                <w:szCs w:val="18"/>
              </w:rPr>
            </w:pPr>
          </w:p>
          <w:p>
            <w:pPr>
              <w:spacing w:line="260" w:lineRule="exact"/>
              <w:ind w:left="-63" w:leftChars="-30" w:right="-63" w:rightChars="-30"/>
              <w:rPr>
                <w:rFonts w:ascii="宋体" w:hAnsi="宋体"/>
                <w:sz w:val="18"/>
                <w:szCs w:val="18"/>
              </w:rPr>
            </w:pPr>
          </w:p>
          <w:p>
            <w:pPr>
              <w:spacing w:line="260" w:lineRule="exact"/>
              <w:ind w:left="-63" w:leftChars="-30" w:right="-63" w:rightChars="-30"/>
              <w:rPr>
                <w:rFonts w:ascii="宋体" w:hAnsi="宋体"/>
                <w:sz w:val="18"/>
                <w:szCs w:val="18"/>
              </w:rPr>
            </w:pPr>
          </w:p>
          <w:p>
            <w:pPr>
              <w:spacing w:line="260" w:lineRule="exact"/>
              <w:ind w:left="-63" w:leftChars="-30" w:right="-63" w:rightChars="-30"/>
              <w:rPr>
                <w:rFonts w:ascii="宋体" w:hAnsi="宋体"/>
                <w:sz w:val="18"/>
                <w:szCs w:val="18"/>
              </w:rPr>
            </w:pPr>
          </w:p>
          <w:p>
            <w:pPr>
              <w:spacing w:line="260" w:lineRule="exact"/>
              <w:ind w:left="-63" w:leftChars="-30" w:right="-63" w:rightChars="-30"/>
              <w:rPr>
                <w:rFonts w:ascii="宋体" w:hAnsi="宋体"/>
                <w:sz w:val="18"/>
                <w:szCs w:val="18"/>
              </w:rPr>
            </w:pPr>
          </w:p>
          <w:p>
            <w:pPr>
              <w:spacing w:line="260" w:lineRule="exact"/>
              <w:ind w:left="-63" w:leftChars="-30" w:right="-63" w:rightChars="-30"/>
              <w:rPr>
                <w:rFonts w:ascii="宋体" w:hAnsi="宋体"/>
                <w:sz w:val="18"/>
                <w:szCs w:val="18"/>
              </w:rPr>
            </w:pPr>
          </w:p>
          <w:p>
            <w:pPr>
              <w:spacing w:line="260" w:lineRule="exact"/>
              <w:ind w:left="-63" w:leftChars="-30" w:right="-63" w:rightChars="-30"/>
              <w:rPr>
                <w:rFonts w:ascii="宋体" w:hAnsi="宋体"/>
                <w:sz w:val="18"/>
                <w:szCs w:val="18"/>
              </w:rPr>
            </w:pPr>
          </w:p>
          <w:p>
            <w:pPr>
              <w:spacing w:line="260" w:lineRule="exact"/>
              <w:ind w:left="-63" w:leftChars="-30" w:right="-63" w:rightChars="-30"/>
              <w:rPr>
                <w:rFonts w:ascii="宋体" w:hAnsi="宋体"/>
                <w:sz w:val="18"/>
                <w:szCs w:val="18"/>
              </w:rPr>
            </w:pPr>
          </w:p>
          <w:p>
            <w:pPr>
              <w:spacing w:line="260" w:lineRule="exact"/>
              <w:ind w:left="-63" w:leftChars="-30" w:right="-63" w:rightChars="-30"/>
              <w:rPr>
                <w:rFonts w:ascii="宋体" w:hAnsi="宋体"/>
                <w:sz w:val="18"/>
                <w:szCs w:val="18"/>
              </w:rPr>
            </w:pPr>
          </w:p>
          <w:p>
            <w:pPr>
              <w:spacing w:line="260" w:lineRule="exact"/>
              <w:ind w:left="-63" w:leftChars="-30" w:right="-63" w:rightChars="-30"/>
              <w:rPr>
                <w:rFonts w:ascii="宋体" w:hAnsi="宋体"/>
                <w:sz w:val="18"/>
                <w:szCs w:val="18"/>
              </w:rPr>
            </w:pPr>
          </w:p>
          <w:p>
            <w:pPr>
              <w:spacing w:line="260" w:lineRule="exact"/>
              <w:ind w:left="-63" w:leftChars="-30" w:right="-63" w:rightChars="-30"/>
              <w:rPr>
                <w:rFonts w:ascii="宋体" w:hAnsi="宋体"/>
                <w:sz w:val="18"/>
                <w:szCs w:val="18"/>
              </w:rPr>
            </w:pPr>
          </w:p>
          <w:p>
            <w:pPr>
              <w:spacing w:line="260" w:lineRule="exact"/>
              <w:ind w:left="-63" w:leftChars="-30" w:right="-63" w:rightChars="-30"/>
              <w:rPr>
                <w:rFonts w:ascii="宋体" w:hAnsi="宋体"/>
                <w:sz w:val="18"/>
                <w:szCs w:val="18"/>
              </w:rPr>
            </w:pPr>
          </w:p>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noWrap w:val="0"/>
            <w:vAlign w:val="center"/>
          </w:tcPr>
          <w:p>
            <w:pPr>
              <w:widowControl/>
              <w:spacing w:line="260" w:lineRule="exact"/>
              <w:ind w:left="-63" w:leftChars="-30" w:right="-63" w:rightChars="-3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643" w:type="dxa"/>
            <w:noWrap w:val="0"/>
            <w:vAlign w:val="center"/>
          </w:tcPr>
          <w:p>
            <w:pPr>
              <w:widowControl/>
              <w:spacing w:line="26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广东省</w:t>
            </w:r>
            <w:r>
              <w:rPr>
                <w:rFonts w:ascii="宋体" w:hAnsi="宋体" w:cs="宋体"/>
                <w:color w:val="000000"/>
                <w:sz w:val="18"/>
                <w:szCs w:val="18"/>
                <w:lang w:bidi="ar"/>
              </w:rPr>
              <w:t>商务厅</w:t>
            </w:r>
          </w:p>
        </w:tc>
        <w:tc>
          <w:tcPr>
            <w:tcW w:w="873" w:type="dxa"/>
            <w:noWrap w:val="0"/>
            <w:vAlign w:val="center"/>
          </w:tcPr>
          <w:p>
            <w:pPr>
              <w:widowControl/>
              <w:spacing w:line="26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广东省沿海砂石出口作业点和港澳籍小型船舶进出砂石出口作业点作业许可</w:t>
            </w:r>
          </w:p>
        </w:tc>
        <w:tc>
          <w:tcPr>
            <w:tcW w:w="844" w:type="dxa"/>
            <w:noWrap w:val="0"/>
            <w:vAlign w:val="center"/>
          </w:tcPr>
          <w:p>
            <w:pPr>
              <w:widowControl/>
              <w:spacing w:line="26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省级</w:t>
            </w:r>
            <w:r>
              <w:rPr>
                <w:rFonts w:ascii="宋体" w:hAnsi="宋体" w:cs="宋体"/>
                <w:color w:val="000000"/>
                <w:sz w:val="18"/>
                <w:szCs w:val="18"/>
                <w:lang w:bidi="ar"/>
              </w:rPr>
              <w:t>、市级商务部门</w:t>
            </w:r>
          </w:p>
        </w:tc>
        <w:tc>
          <w:tcPr>
            <w:tcW w:w="873" w:type="dxa"/>
            <w:noWrap w:val="0"/>
            <w:vAlign w:val="center"/>
          </w:tcPr>
          <w:p>
            <w:pPr>
              <w:widowControl/>
              <w:spacing w:line="260" w:lineRule="exact"/>
              <w:ind w:left="-63" w:leftChars="-30" w:right="-63" w:rightChars="-30"/>
              <w:textAlignment w:val="center"/>
              <w:rPr>
                <w:rFonts w:ascii="宋体" w:hAnsi="宋体" w:cs="宋体"/>
                <w:color w:val="000000"/>
                <w:sz w:val="18"/>
                <w:szCs w:val="18"/>
                <w:lang w:bidi="ar"/>
              </w:rPr>
            </w:pPr>
          </w:p>
        </w:tc>
        <w:tc>
          <w:tcPr>
            <w:tcW w:w="661" w:type="dxa"/>
            <w:noWrap w:val="0"/>
            <w:vAlign w:val="center"/>
          </w:tcPr>
          <w:p>
            <w:pPr>
              <w:widowControl/>
              <w:spacing w:line="26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w:t>
            </w:r>
            <w:r>
              <w:rPr>
                <w:rFonts w:ascii="宋体" w:hAnsi="宋体" w:cs="宋体"/>
                <w:color w:val="000000"/>
                <w:sz w:val="18"/>
                <w:szCs w:val="18"/>
                <w:lang w:bidi="ar"/>
              </w:rPr>
              <w:t>（</w:t>
            </w:r>
            <w:r>
              <w:rPr>
                <w:rFonts w:hint="eastAsia" w:ascii="宋体" w:hAnsi="宋体" w:cs="宋体"/>
                <w:color w:val="000000"/>
                <w:sz w:val="18"/>
                <w:szCs w:val="18"/>
                <w:lang w:bidi="ar"/>
              </w:rPr>
              <w:t>全市</w:t>
            </w:r>
            <w:r>
              <w:rPr>
                <w:rFonts w:ascii="宋体" w:hAnsi="宋体" w:cs="宋体"/>
                <w:color w:val="000000"/>
                <w:sz w:val="18"/>
                <w:szCs w:val="18"/>
                <w:lang w:bidi="ar"/>
              </w:rPr>
              <w:t>范围内）</w:t>
            </w:r>
          </w:p>
        </w:tc>
        <w:tc>
          <w:tcPr>
            <w:tcW w:w="647" w:type="dxa"/>
            <w:noWrap w:val="0"/>
            <w:vAlign w:val="center"/>
          </w:tcPr>
          <w:p>
            <w:pPr>
              <w:widowControl/>
              <w:spacing w:line="260" w:lineRule="exact"/>
              <w:ind w:left="-63" w:leftChars="-30" w:right="-63" w:rightChars="-30"/>
              <w:textAlignment w:val="center"/>
              <w:rPr>
                <w:rFonts w:ascii="宋体" w:hAnsi="宋体" w:cs="宋体"/>
                <w:color w:val="000000"/>
                <w:sz w:val="18"/>
                <w:szCs w:val="18"/>
                <w:lang w:bidi="ar"/>
              </w:rPr>
            </w:pPr>
          </w:p>
        </w:tc>
        <w:tc>
          <w:tcPr>
            <w:tcW w:w="633" w:type="dxa"/>
            <w:noWrap w:val="0"/>
            <w:vAlign w:val="center"/>
          </w:tcPr>
          <w:p>
            <w:pPr>
              <w:widowControl/>
              <w:spacing w:line="260" w:lineRule="exact"/>
              <w:ind w:left="-63" w:leftChars="-30" w:right="-63" w:rightChars="-30"/>
              <w:textAlignment w:val="center"/>
              <w:rPr>
                <w:rFonts w:ascii="宋体" w:hAnsi="宋体" w:cs="宋体"/>
                <w:color w:val="000000"/>
                <w:sz w:val="18"/>
                <w:szCs w:val="18"/>
                <w:lang w:bidi="ar"/>
              </w:rPr>
            </w:pPr>
          </w:p>
        </w:tc>
        <w:tc>
          <w:tcPr>
            <w:tcW w:w="660" w:type="dxa"/>
            <w:noWrap w:val="0"/>
            <w:vAlign w:val="center"/>
          </w:tcPr>
          <w:p>
            <w:pPr>
              <w:widowControl/>
              <w:spacing w:line="260" w:lineRule="exact"/>
              <w:ind w:left="-63" w:leftChars="-30" w:right="-63" w:rightChars="-30"/>
              <w:textAlignment w:val="center"/>
              <w:rPr>
                <w:rFonts w:ascii="宋体" w:hAnsi="宋体" w:cs="宋体"/>
                <w:color w:val="000000"/>
                <w:sz w:val="18"/>
                <w:szCs w:val="18"/>
                <w:lang w:bidi="ar"/>
              </w:rPr>
            </w:pPr>
          </w:p>
        </w:tc>
        <w:tc>
          <w:tcPr>
            <w:tcW w:w="2496" w:type="dxa"/>
            <w:noWrap w:val="0"/>
            <w:vAlign w:val="center"/>
          </w:tcPr>
          <w:p>
            <w:pPr>
              <w:widowControl/>
              <w:spacing w:line="26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取消广东省沿海砂石出口作业点和港澳籍小型船舶进出砂石出口作业点作业许可。</w:t>
            </w:r>
          </w:p>
        </w:tc>
        <w:tc>
          <w:tcPr>
            <w:tcW w:w="2714" w:type="dxa"/>
            <w:noWrap w:val="0"/>
            <w:vAlign w:val="center"/>
          </w:tcPr>
          <w:p>
            <w:pPr>
              <w:widowControl/>
              <w:spacing w:line="25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1．根据国务院口岸领导小组关于《港澳籍小型船舶进出广东沿海挖沙采石作业点的审批权限和管理办</w:t>
            </w:r>
            <w:r>
              <w:rPr>
                <w:rFonts w:hint="eastAsia" w:ascii="宋体" w:hAnsi="宋体" w:cs="宋体"/>
                <w:color w:val="000000"/>
                <w:spacing w:val="-4"/>
                <w:sz w:val="18"/>
                <w:szCs w:val="18"/>
                <w:lang w:bidi="ar"/>
              </w:rPr>
              <w:t>法》的通知（国口字〔1986〕26</w:t>
            </w:r>
            <w:r>
              <w:rPr>
                <w:rFonts w:hint="eastAsia" w:ascii="宋体" w:hAnsi="宋体" w:cs="宋体"/>
                <w:color w:val="000000"/>
                <w:spacing w:val="-10"/>
                <w:sz w:val="18"/>
                <w:szCs w:val="18"/>
                <w:lang w:bidi="ar"/>
              </w:rPr>
              <w:t>号）</w:t>
            </w:r>
            <w:r>
              <w:rPr>
                <w:rFonts w:hint="eastAsia" w:ascii="宋体" w:hAnsi="宋体" w:cs="宋体"/>
                <w:color w:val="000000"/>
                <w:sz w:val="18"/>
                <w:szCs w:val="18"/>
                <w:lang w:bidi="ar"/>
              </w:rPr>
              <w:t>和粵府办〔1987〕18号文办理。</w:t>
            </w:r>
          </w:p>
          <w:p>
            <w:pPr>
              <w:widowControl/>
              <w:spacing w:line="25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2．开展“双随机、一公开”监管，发现违法违规行为的要依法查处并公开结果。</w:t>
            </w:r>
          </w:p>
          <w:p>
            <w:pPr>
              <w:widowControl/>
              <w:spacing w:line="25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3．加强信用监管，完善黑名单制度，采取限制惩戒措施。</w:t>
            </w:r>
          </w:p>
          <w:p>
            <w:pPr>
              <w:widowControl/>
              <w:spacing w:line="25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4．发挥行业协会自律作用。</w:t>
            </w:r>
          </w:p>
        </w:tc>
        <w:tc>
          <w:tcPr>
            <w:tcW w:w="912" w:type="dxa"/>
            <w:noWrap w:val="0"/>
            <w:vAlign w:val="center"/>
          </w:tcPr>
          <w:p>
            <w:pPr>
              <w:widowControl/>
              <w:spacing w:line="260" w:lineRule="exact"/>
              <w:ind w:left="-63" w:leftChars="-30" w:right="-63" w:rightChars="-30"/>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市商务局</w:t>
            </w:r>
          </w:p>
        </w:tc>
        <w:tc>
          <w:tcPr>
            <w:tcW w:w="882" w:type="dxa"/>
            <w:noWrap w:val="0"/>
            <w:vAlign w:val="center"/>
          </w:tcPr>
          <w:p>
            <w:pPr>
              <w:widowControl/>
              <w:spacing w:line="260" w:lineRule="exact"/>
              <w:ind w:left="-63" w:leftChars="-30" w:right="-63" w:rightChars="-30"/>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已经报请省司法厅废止该行政许可，待提请省人大常委会修订相关地方性法规后实施。</w:t>
            </w:r>
          </w:p>
        </w:tc>
      </w:tr>
    </w:tbl>
    <w:p>
      <w:p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643"/>
        <w:gridCol w:w="873"/>
        <w:gridCol w:w="844"/>
        <w:gridCol w:w="873"/>
        <w:gridCol w:w="661"/>
        <w:gridCol w:w="647"/>
        <w:gridCol w:w="633"/>
        <w:gridCol w:w="660"/>
        <w:gridCol w:w="2496"/>
        <w:gridCol w:w="2714"/>
        <w:gridCol w:w="912"/>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96" w:type="dxa"/>
            <w:vMerge w:val="restart"/>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序号</w:t>
            </w:r>
          </w:p>
        </w:tc>
        <w:tc>
          <w:tcPr>
            <w:tcW w:w="643" w:type="dxa"/>
            <w:vMerge w:val="restart"/>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省级主管部门</w:t>
            </w:r>
          </w:p>
        </w:tc>
        <w:tc>
          <w:tcPr>
            <w:tcW w:w="873" w:type="dxa"/>
            <w:vMerge w:val="restart"/>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改革事项</w:t>
            </w:r>
          </w:p>
        </w:tc>
        <w:tc>
          <w:tcPr>
            <w:tcW w:w="844" w:type="dxa"/>
            <w:vMerge w:val="restart"/>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审批层级和部门</w:t>
            </w:r>
          </w:p>
        </w:tc>
        <w:tc>
          <w:tcPr>
            <w:tcW w:w="873" w:type="dxa"/>
            <w:vMerge w:val="restart"/>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设定依据</w:t>
            </w:r>
          </w:p>
        </w:tc>
        <w:tc>
          <w:tcPr>
            <w:tcW w:w="2601" w:type="dxa"/>
            <w:gridSpan w:val="4"/>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改革方式</w:t>
            </w:r>
          </w:p>
        </w:tc>
        <w:tc>
          <w:tcPr>
            <w:tcW w:w="2496" w:type="dxa"/>
            <w:vMerge w:val="restart"/>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具体改革措施</w:t>
            </w:r>
          </w:p>
        </w:tc>
        <w:tc>
          <w:tcPr>
            <w:tcW w:w="2714" w:type="dxa"/>
            <w:vMerge w:val="restart"/>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加强事中事后监管措施</w:t>
            </w:r>
          </w:p>
        </w:tc>
        <w:tc>
          <w:tcPr>
            <w:tcW w:w="912" w:type="dxa"/>
            <w:vMerge w:val="restart"/>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我市牵头单位</w:t>
            </w:r>
          </w:p>
        </w:tc>
        <w:tc>
          <w:tcPr>
            <w:tcW w:w="882" w:type="dxa"/>
            <w:vMerge w:val="restart"/>
            <w:noWrap w:val="0"/>
            <w:vAlign w:val="center"/>
          </w:tcPr>
          <w:p>
            <w:pPr>
              <w:spacing w:line="24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96" w:type="dxa"/>
            <w:vMerge w:val="continue"/>
            <w:noWrap w:val="0"/>
            <w:vAlign w:val="center"/>
          </w:tcPr>
          <w:p>
            <w:pPr>
              <w:spacing w:line="260" w:lineRule="exact"/>
              <w:ind w:left="-63" w:leftChars="-30" w:right="-63" w:rightChars="-30"/>
              <w:jc w:val="center"/>
              <w:rPr>
                <w:rFonts w:ascii="宋体" w:hAnsi="宋体"/>
                <w:sz w:val="18"/>
                <w:szCs w:val="18"/>
              </w:rPr>
            </w:pPr>
          </w:p>
        </w:tc>
        <w:tc>
          <w:tcPr>
            <w:tcW w:w="643" w:type="dxa"/>
            <w:vMerge w:val="continue"/>
            <w:noWrap w:val="0"/>
            <w:vAlign w:val="center"/>
          </w:tcPr>
          <w:p>
            <w:pPr>
              <w:spacing w:line="260" w:lineRule="exact"/>
              <w:ind w:left="-63" w:leftChars="-30" w:right="-63" w:rightChars="-30"/>
              <w:jc w:val="center"/>
              <w:rPr>
                <w:rFonts w:ascii="宋体" w:hAnsi="宋体"/>
                <w:sz w:val="18"/>
                <w:szCs w:val="18"/>
              </w:rPr>
            </w:pPr>
          </w:p>
        </w:tc>
        <w:tc>
          <w:tcPr>
            <w:tcW w:w="873" w:type="dxa"/>
            <w:vMerge w:val="continue"/>
            <w:noWrap w:val="0"/>
            <w:vAlign w:val="center"/>
          </w:tcPr>
          <w:p>
            <w:pPr>
              <w:spacing w:line="260" w:lineRule="exact"/>
              <w:ind w:left="-63" w:leftChars="-30" w:right="-63" w:rightChars="-30"/>
              <w:jc w:val="center"/>
              <w:rPr>
                <w:rFonts w:ascii="宋体" w:hAnsi="宋体"/>
                <w:sz w:val="18"/>
                <w:szCs w:val="18"/>
              </w:rPr>
            </w:pPr>
          </w:p>
        </w:tc>
        <w:tc>
          <w:tcPr>
            <w:tcW w:w="844" w:type="dxa"/>
            <w:vMerge w:val="continue"/>
            <w:noWrap w:val="0"/>
            <w:vAlign w:val="center"/>
          </w:tcPr>
          <w:p>
            <w:pPr>
              <w:spacing w:line="260" w:lineRule="exact"/>
              <w:ind w:left="-63" w:leftChars="-30" w:right="-63" w:rightChars="-30"/>
              <w:jc w:val="center"/>
              <w:rPr>
                <w:rFonts w:ascii="宋体" w:hAnsi="宋体"/>
                <w:sz w:val="18"/>
                <w:szCs w:val="18"/>
              </w:rPr>
            </w:pPr>
          </w:p>
        </w:tc>
        <w:tc>
          <w:tcPr>
            <w:tcW w:w="873" w:type="dxa"/>
            <w:vMerge w:val="continue"/>
            <w:noWrap w:val="0"/>
            <w:vAlign w:val="center"/>
          </w:tcPr>
          <w:p>
            <w:pPr>
              <w:spacing w:line="260" w:lineRule="exact"/>
              <w:ind w:left="-63" w:leftChars="-30" w:right="-63" w:rightChars="-30"/>
              <w:jc w:val="center"/>
              <w:rPr>
                <w:rFonts w:ascii="宋体" w:hAnsi="宋体"/>
                <w:sz w:val="18"/>
                <w:szCs w:val="18"/>
              </w:rPr>
            </w:pPr>
          </w:p>
        </w:tc>
        <w:tc>
          <w:tcPr>
            <w:tcW w:w="661"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直接取消审批</w:t>
            </w:r>
          </w:p>
        </w:tc>
        <w:tc>
          <w:tcPr>
            <w:tcW w:w="647"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审批改为备案</w:t>
            </w:r>
          </w:p>
        </w:tc>
        <w:tc>
          <w:tcPr>
            <w:tcW w:w="633"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实行告知承诺</w:t>
            </w:r>
          </w:p>
        </w:tc>
        <w:tc>
          <w:tcPr>
            <w:tcW w:w="660" w:type="dxa"/>
            <w:noWrap w:val="0"/>
            <w:vAlign w:val="center"/>
          </w:tcPr>
          <w:p>
            <w:pPr>
              <w:spacing w:line="260" w:lineRule="exact"/>
              <w:ind w:left="-63" w:leftChars="-30" w:right="-63" w:rightChars="-30"/>
              <w:jc w:val="center"/>
              <w:rPr>
                <w:rFonts w:hint="eastAsia" w:ascii="黑体" w:hAnsi="宋体" w:eastAsia="黑体"/>
                <w:sz w:val="18"/>
                <w:szCs w:val="18"/>
              </w:rPr>
            </w:pPr>
            <w:r>
              <w:rPr>
                <w:rFonts w:hint="eastAsia" w:ascii="黑体" w:hAnsi="宋体" w:eastAsia="黑体"/>
                <w:sz w:val="18"/>
                <w:szCs w:val="18"/>
              </w:rPr>
              <w:t>优化审批服务</w:t>
            </w:r>
          </w:p>
        </w:tc>
        <w:tc>
          <w:tcPr>
            <w:tcW w:w="2496" w:type="dxa"/>
            <w:vMerge w:val="continue"/>
            <w:noWrap w:val="0"/>
            <w:vAlign w:val="center"/>
          </w:tcPr>
          <w:p>
            <w:pPr>
              <w:spacing w:line="260" w:lineRule="exact"/>
              <w:ind w:left="-63" w:leftChars="-30" w:right="-63" w:rightChars="-30"/>
              <w:jc w:val="center"/>
              <w:rPr>
                <w:rFonts w:ascii="宋体" w:hAnsi="宋体"/>
                <w:sz w:val="18"/>
                <w:szCs w:val="18"/>
              </w:rPr>
            </w:pPr>
          </w:p>
        </w:tc>
        <w:tc>
          <w:tcPr>
            <w:tcW w:w="2714" w:type="dxa"/>
            <w:vMerge w:val="continue"/>
            <w:noWrap w:val="0"/>
            <w:vAlign w:val="center"/>
          </w:tcPr>
          <w:p>
            <w:pPr>
              <w:spacing w:line="260" w:lineRule="exact"/>
              <w:ind w:left="-63" w:leftChars="-30" w:right="-63" w:rightChars="-30"/>
              <w:jc w:val="center"/>
              <w:rPr>
                <w:rFonts w:ascii="宋体" w:hAnsi="宋体"/>
                <w:sz w:val="18"/>
                <w:szCs w:val="18"/>
              </w:rPr>
            </w:pPr>
          </w:p>
        </w:tc>
        <w:tc>
          <w:tcPr>
            <w:tcW w:w="912" w:type="dxa"/>
            <w:vMerge w:val="continue"/>
            <w:noWrap w:val="0"/>
            <w:vAlign w:val="center"/>
          </w:tcPr>
          <w:p>
            <w:pPr>
              <w:spacing w:line="260" w:lineRule="exact"/>
              <w:ind w:left="-63" w:leftChars="-30" w:right="-63" w:rightChars="-30"/>
              <w:jc w:val="center"/>
              <w:rPr>
                <w:rFonts w:ascii="宋体" w:hAnsi="宋体"/>
                <w:sz w:val="18"/>
                <w:szCs w:val="18"/>
              </w:rPr>
            </w:pPr>
          </w:p>
        </w:tc>
        <w:tc>
          <w:tcPr>
            <w:tcW w:w="882" w:type="dxa"/>
            <w:vMerge w:val="continue"/>
            <w:noWrap w:val="0"/>
            <w:vAlign w:val="center"/>
          </w:tcPr>
          <w:p>
            <w:pPr>
              <w:spacing w:line="240" w:lineRule="exact"/>
              <w:ind w:left="-63" w:leftChars="-30" w:right="-63" w:rightChars="-3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noWrap w:val="0"/>
            <w:vAlign w:val="center"/>
          </w:tcPr>
          <w:p>
            <w:pPr>
              <w:widowControl/>
              <w:spacing w:line="270" w:lineRule="exact"/>
              <w:ind w:left="-63" w:leftChars="-30" w:right="-63" w:rightChars="-3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643"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广东省</w:t>
            </w:r>
            <w:r>
              <w:rPr>
                <w:rFonts w:ascii="宋体" w:hAnsi="宋体" w:cs="宋体"/>
                <w:color w:val="000000"/>
                <w:sz w:val="18"/>
                <w:szCs w:val="18"/>
                <w:lang w:bidi="ar"/>
              </w:rPr>
              <w:t>市场监督管理局</w:t>
            </w:r>
          </w:p>
        </w:tc>
        <w:tc>
          <w:tcPr>
            <w:tcW w:w="873"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食品</w:t>
            </w:r>
            <w:r>
              <w:rPr>
                <w:rFonts w:ascii="宋体" w:hAnsi="宋体" w:cs="宋体"/>
                <w:color w:val="000000"/>
                <w:sz w:val="18"/>
                <w:szCs w:val="18"/>
                <w:lang w:bidi="ar"/>
              </w:rPr>
              <w:t>生产加工小作坊登记</w:t>
            </w:r>
          </w:p>
        </w:tc>
        <w:tc>
          <w:tcPr>
            <w:tcW w:w="844"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县级</w:t>
            </w:r>
            <w:r>
              <w:rPr>
                <w:rFonts w:ascii="宋体" w:hAnsi="宋体" w:cs="宋体"/>
                <w:color w:val="000000"/>
                <w:sz w:val="18"/>
                <w:szCs w:val="18"/>
                <w:lang w:bidi="ar"/>
              </w:rPr>
              <w:t>市场监管部门</w:t>
            </w:r>
          </w:p>
        </w:tc>
        <w:tc>
          <w:tcPr>
            <w:tcW w:w="873"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《广东省食品生产加工小作坊和食品摊贩管理条例》（广东省第十二届人民代表大会常务委员会公告第38号）</w:t>
            </w:r>
          </w:p>
        </w:tc>
        <w:tc>
          <w:tcPr>
            <w:tcW w:w="661"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p>
        </w:tc>
        <w:tc>
          <w:tcPr>
            <w:tcW w:w="647"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p>
        </w:tc>
        <w:tc>
          <w:tcPr>
            <w:tcW w:w="633"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p>
        </w:tc>
        <w:tc>
          <w:tcPr>
            <w:tcW w:w="660"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w:t>
            </w:r>
            <w:r>
              <w:rPr>
                <w:rFonts w:ascii="宋体" w:hAnsi="宋体" w:cs="宋体"/>
                <w:color w:val="000000"/>
                <w:sz w:val="18"/>
                <w:szCs w:val="18"/>
                <w:lang w:bidi="ar"/>
              </w:rPr>
              <w:t>（</w:t>
            </w:r>
            <w:r>
              <w:rPr>
                <w:rFonts w:hint="eastAsia" w:ascii="宋体" w:hAnsi="宋体" w:cs="宋体"/>
                <w:color w:val="000000"/>
                <w:sz w:val="18"/>
                <w:szCs w:val="18"/>
                <w:lang w:bidi="ar"/>
              </w:rPr>
              <w:t>全市</w:t>
            </w:r>
            <w:r>
              <w:rPr>
                <w:rFonts w:ascii="宋体" w:hAnsi="宋体" w:cs="宋体"/>
                <w:color w:val="000000"/>
                <w:sz w:val="18"/>
                <w:szCs w:val="18"/>
                <w:lang w:bidi="ar"/>
              </w:rPr>
              <w:t>范围内）</w:t>
            </w:r>
          </w:p>
        </w:tc>
        <w:tc>
          <w:tcPr>
            <w:tcW w:w="2496"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1．完善食品小作坊法律法规与制度。</w:t>
            </w:r>
          </w:p>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pacing w:val="-4"/>
                <w:sz w:val="18"/>
                <w:szCs w:val="18"/>
                <w:lang w:bidi="ar"/>
              </w:rPr>
              <w:t>2．完善食品小作坊登记制度，</w:t>
            </w:r>
            <w:r>
              <w:rPr>
                <w:rFonts w:hint="eastAsia" w:ascii="宋体" w:hAnsi="宋体" w:cs="宋体"/>
                <w:color w:val="000000"/>
                <w:sz w:val="18"/>
                <w:szCs w:val="18"/>
                <w:lang w:bidi="ar"/>
              </w:rPr>
              <w:t>优化食品小作坊登记程序，精简申报材料、压缩工作时限。</w:t>
            </w:r>
          </w:p>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3</w:t>
            </w:r>
            <w:r>
              <w:rPr>
                <w:rFonts w:hint="eastAsia" w:ascii="宋体" w:hAnsi="宋体" w:cs="宋体"/>
                <w:color w:val="000000"/>
                <w:spacing w:val="-10"/>
                <w:sz w:val="18"/>
                <w:szCs w:val="18"/>
                <w:lang w:bidi="ar"/>
              </w:rPr>
              <w:t>．完善食品小作坊信息化管理，</w:t>
            </w:r>
            <w:r>
              <w:rPr>
                <w:rFonts w:hint="eastAsia" w:ascii="宋体" w:hAnsi="宋体" w:cs="宋体"/>
                <w:color w:val="000000"/>
                <w:sz w:val="18"/>
                <w:szCs w:val="18"/>
                <w:lang w:bidi="ar"/>
              </w:rPr>
              <w:t>逐步推进食品小作坊登记全流程网上办理与电子登记证。</w:t>
            </w:r>
          </w:p>
        </w:tc>
        <w:tc>
          <w:tcPr>
            <w:tcW w:w="2714"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1．建立食品小作坊禁止生产加工目录动态调整机制。</w:t>
            </w:r>
          </w:p>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2．建立推行食品小作坊监管与抽检计划向社会公示制度。</w:t>
            </w:r>
          </w:p>
          <w:p>
            <w:pPr>
              <w:widowControl/>
              <w:spacing w:line="270" w:lineRule="exact"/>
              <w:ind w:left="-63" w:leftChars="-30" w:right="-63" w:rightChars="-30"/>
              <w:textAlignment w:val="center"/>
              <w:rPr>
                <w:rFonts w:ascii="宋体" w:hAnsi="宋体" w:cs="宋体"/>
                <w:color w:val="000000"/>
                <w:spacing w:val="-38"/>
                <w:sz w:val="18"/>
                <w:szCs w:val="18"/>
                <w:lang w:bidi="ar"/>
              </w:rPr>
            </w:pPr>
            <w:r>
              <w:rPr>
                <w:rFonts w:hint="eastAsia" w:ascii="宋体" w:hAnsi="宋体" w:cs="宋体"/>
                <w:color w:val="000000"/>
                <w:sz w:val="18"/>
                <w:szCs w:val="18"/>
                <w:lang w:bidi="ar"/>
              </w:rPr>
              <w:t>3</w:t>
            </w:r>
            <w:r>
              <w:rPr>
                <w:rFonts w:hint="eastAsia" w:ascii="宋体" w:hAnsi="宋体" w:cs="宋体"/>
                <w:color w:val="000000"/>
                <w:spacing w:val="-5"/>
                <w:sz w:val="18"/>
                <w:szCs w:val="18"/>
                <w:lang w:bidi="ar"/>
              </w:rPr>
              <w:t>．强化食品小作坊风险隐患排查</w:t>
            </w:r>
            <w:r>
              <w:rPr>
                <w:rFonts w:hint="eastAsia" w:ascii="宋体" w:hAnsi="宋体" w:cs="宋体"/>
                <w:color w:val="000000"/>
                <w:spacing w:val="-38"/>
                <w:sz w:val="18"/>
                <w:szCs w:val="18"/>
                <w:lang w:bidi="ar"/>
              </w:rPr>
              <w:t>。</w:t>
            </w:r>
          </w:p>
          <w:p>
            <w:pPr>
              <w:widowControl/>
              <w:spacing w:line="270" w:lineRule="exact"/>
              <w:ind w:left="-63" w:leftChars="-30" w:right="-63" w:rightChars="-30"/>
              <w:textAlignment w:val="center"/>
              <w:rPr>
                <w:rFonts w:ascii="宋体" w:hAnsi="宋体" w:cs="宋体"/>
                <w:color w:val="000000"/>
                <w:spacing w:val="-5"/>
                <w:sz w:val="18"/>
                <w:szCs w:val="18"/>
                <w:lang w:bidi="ar"/>
              </w:rPr>
            </w:pPr>
            <w:r>
              <w:rPr>
                <w:rFonts w:hint="eastAsia" w:ascii="宋体" w:hAnsi="宋体" w:cs="宋体"/>
                <w:color w:val="000000"/>
                <w:spacing w:val="-5"/>
                <w:sz w:val="18"/>
                <w:szCs w:val="18"/>
                <w:lang w:bidi="ar"/>
              </w:rPr>
              <w:t>4．实施食品小作坊风险分类管理</w:t>
            </w:r>
            <w:r>
              <w:rPr>
                <w:rFonts w:hint="eastAsia" w:ascii="宋体" w:hAnsi="宋体" w:cs="宋体"/>
                <w:color w:val="000000"/>
                <w:spacing w:val="-30"/>
                <w:sz w:val="18"/>
                <w:szCs w:val="18"/>
                <w:lang w:bidi="ar"/>
              </w:rPr>
              <w:t>。</w:t>
            </w:r>
          </w:p>
          <w:p>
            <w:pPr>
              <w:widowControl/>
              <w:spacing w:line="270" w:lineRule="exact"/>
              <w:ind w:left="-63" w:leftChars="-30" w:right="-63" w:rightChars="-30"/>
              <w:textAlignment w:val="center"/>
              <w:rPr>
                <w:rFonts w:ascii="宋体" w:hAnsi="宋体" w:cs="宋体"/>
                <w:color w:val="000000"/>
                <w:spacing w:val="-38"/>
                <w:sz w:val="18"/>
                <w:szCs w:val="18"/>
                <w:lang w:bidi="ar"/>
              </w:rPr>
            </w:pPr>
            <w:r>
              <w:rPr>
                <w:rFonts w:hint="eastAsia" w:ascii="宋体" w:hAnsi="宋体" w:cs="宋体"/>
                <w:color w:val="000000"/>
                <w:spacing w:val="-5"/>
                <w:sz w:val="18"/>
                <w:szCs w:val="18"/>
                <w:lang w:bidi="ar"/>
              </w:rPr>
              <w:t>5．严查食品小作坊违法违规行为</w:t>
            </w:r>
            <w:r>
              <w:rPr>
                <w:rFonts w:hint="eastAsia" w:ascii="宋体" w:hAnsi="宋体" w:cs="宋体"/>
                <w:color w:val="000000"/>
                <w:spacing w:val="-38"/>
                <w:sz w:val="18"/>
                <w:szCs w:val="18"/>
                <w:lang w:bidi="ar"/>
              </w:rPr>
              <w:t>。</w:t>
            </w:r>
          </w:p>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6．强化食品小作坊规范指导。</w:t>
            </w:r>
          </w:p>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pacing w:val="-6"/>
                <w:sz w:val="18"/>
                <w:szCs w:val="18"/>
                <w:lang w:bidi="ar"/>
              </w:rPr>
              <w:t>7</w:t>
            </w:r>
            <w:r>
              <w:rPr>
                <w:rFonts w:hint="eastAsia" w:ascii="宋体" w:hAnsi="宋体" w:cs="宋体"/>
                <w:color w:val="000000"/>
                <w:sz w:val="18"/>
                <w:szCs w:val="18"/>
                <w:lang w:bidi="ar"/>
              </w:rPr>
              <w:t>．推进食品小作坊集中加工区建设。</w:t>
            </w:r>
          </w:p>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8．落实食品小作坊食品安全各方责任。</w:t>
            </w:r>
          </w:p>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9．推动食品小作坊社会共治。</w:t>
            </w:r>
          </w:p>
        </w:tc>
        <w:tc>
          <w:tcPr>
            <w:tcW w:w="912" w:type="dxa"/>
            <w:noWrap w:val="0"/>
            <w:vAlign w:val="center"/>
          </w:tcPr>
          <w:p>
            <w:pPr>
              <w:widowControl/>
              <w:spacing w:line="270" w:lineRule="exact"/>
              <w:ind w:left="-63" w:leftChars="-30" w:right="-63" w:rightChars="-30"/>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市市场监管局</w:t>
            </w:r>
          </w:p>
        </w:tc>
        <w:tc>
          <w:tcPr>
            <w:tcW w:w="882" w:type="dxa"/>
            <w:noWrap w:val="0"/>
            <w:vAlign w:val="center"/>
          </w:tcPr>
          <w:p>
            <w:pPr>
              <w:widowControl/>
              <w:spacing w:line="260" w:lineRule="exact"/>
              <w:ind w:left="-63" w:leftChars="-30" w:right="-63" w:rightChars="-30"/>
              <w:textAlignment w:val="center"/>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noWrap w:val="0"/>
            <w:vAlign w:val="center"/>
          </w:tcPr>
          <w:p>
            <w:pPr>
              <w:widowControl/>
              <w:spacing w:line="270" w:lineRule="exact"/>
              <w:ind w:left="-63" w:leftChars="-30" w:right="-63" w:rightChars="-3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643"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广东省公安厅</w:t>
            </w:r>
            <w:r>
              <w:rPr>
                <w:rFonts w:ascii="宋体" w:hAnsi="宋体" w:cs="宋体"/>
                <w:color w:val="000000"/>
                <w:sz w:val="18"/>
                <w:szCs w:val="18"/>
                <w:lang w:bidi="ar"/>
              </w:rPr>
              <w:t>（</w:t>
            </w:r>
            <w:r>
              <w:rPr>
                <w:rFonts w:hint="eastAsia" w:ascii="宋体" w:hAnsi="宋体" w:cs="宋体"/>
                <w:color w:val="000000"/>
                <w:sz w:val="18"/>
                <w:szCs w:val="18"/>
                <w:lang w:bidi="ar"/>
              </w:rPr>
              <w:t>深圳市</w:t>
            </w:r>
            <w:r>
              <w:rPr>
                <w:rFonts w:ascii="宋体" w:hAnsi="宋体" w:cs="宋体"/>
                <w:color w:val="000000"/>
                <w:sz w:val="18"/>
                <w:szCs w:val="18"/>
                <w:lang w:bidi="ar"/>
              </w:rPr>
              <w:t>公安局）</w:t>
            </w:r>
          </w:p>
        </w:tc>
        <w:tc>
          <w:tcPr>
            <w:tcW w:w="873"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开办</w:t>
            </w:r>
            <w:r>
              <w:rPr>
                <w:rFonts w:ascii="宋体" w:hAnsi="宋体" w:cs="宋体"/>
                <w:color w:val="000000"/>
                <w:sz w:val="18"/>
                <w:szCs w:val="18"/>
                <w:lang w:bidi="ar"/>
              </w:rPr>
              <w:t>、变更及注销经营性停车场许可</w:t>
            </w:r>
          </w:p>
        </w:tc>
        <w:tc>
          <w:tcPr>
            <w:tcW w:w="844"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深圳市</w:t>
            </w:r>
            <w:r>
              <w:rPr>
                <w:rFonts w:ascii="宋体" w:hAnsi="宋体" w:cs="宋体"/>
                <w:color w:val="000000"/>
                <w:sz w:val="18"/>
                <w:szCs w:val="18"/>
                <w:lang w:bidi="ar"/>
              </w:rPr>
              <w:t>公安机关</w:t>
            </w:r>
          </w:p>
        </w:tc>
        <w:tc>
          <w:tcPr>
            <w:tcW w:w="873"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《深圳市停车场规划建设和机动车停放管理条</w:t>
            </w:r>
            <w:r>
              <w:rPr>
                <w:rFonts w:hint="eastAsia" w:ascii="宋体" w:hAnsi="宋体" w:cs="宋体"/>
                <w:color w:val="000000"/>
                <w:spacing w:val="-10"/>
                <w:sz w:val="18"/>
                <w:szCs w:val="18"/>
                <w:lang w:bidi="ar"/>
              </w:rPr>
              <w:t>例》（2004</w:t>
            </w:r>
            <w:r>
              <w:rPr>
                <w:rFonts w:hint="eastAsia" w:ascii="宋体" w:hAnsi="宋体" w:cs="宋体"/>
                <w:color w:val="000000"/>
                <w:sz w:val="18"/>
                <w:szCs w:val="18"/>
                <w:lang w:bidi="ar"/>
              </w:rPr>
              <w:t>年修正）</w:t>
            </w:r>
          </w:p>
        </w:tc>
        <w:tc>
          <w:tcPr>
            <w:tcW w:w="661"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p>
        </w:tc>
        <w:tc>
          <w:tcPr>
            <w:tcW w:w="647"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p>
        </w:tc>
        <w:tc>
          <w:tcPr>
            <w:tcW w:w="633"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p>
        </w:tc>
        <w:tc>
          <w:tcPr>
            <w:tcW w:w="660"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√（全市范围</w:t>
            </w:r>
            <w:r>
              <w:rPr>
                <w:rFonts w:ascii="宋体" w:hAnsi="宋体" w:cs="宋体"/>
                <w:color w:val="000000"/>
                <w:sz w:val="18"/>
                <w:szCs w:val="18"/>
                <w:lang w:bidi="ar"/>
              </w:rPr>
              <w:t>内）</w:t>
            </w:r>
          </w:p>
        </w:tc>
        <w:tc>
          <w:tcPr>
            <w:tcW w:w="2496"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精简经营性停车场行政许可事项申请材料，压缩审批时限，实现所有业务全流程网办，并充分利用社会资源，实行经营性停车场行政许可前置程序社会化办理，进一步提高办证效率，提升办事群众满意度。</w:t>
            </w:r>
          </w:p>
        </w:tc>
        <w:tc>
          <w:tcPr>
            <w:tcW w:w="2714"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1．严控各审批环节的审批权限。</w:t>
            </w:r>
          </w:p>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2．全流程网办，审批留痕，所有审批材料实行电子化管理。</w:t>
            </w:r>
          </w:p>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3．场地勘验工作全程音视频记录，重点部位拍照记录，并建立专门数据库存档备查。</w:t>
            </w:r>
          </w:p>
        </w:tc>
        <w:tc>
          <w:tcPr>
            <w:tcW w:w="912" w:type="dxa"/>
            <w:noWrap w:val="0"/>
            <w:vAlign w:val="center"/>
          </w:tcPr>
          <w:p>
            <w:pPr>
              <w:widowControl/>
              <w:spacing w:line="270" w:lineRule="exact"/>
              <w:ind w:left="-63" w:leftChars="-30" w:right="-63" w:rightChars="-30"/>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市公安局</w:t>
            </w:r>
          </w:p>
        </w:tc>
        <w:tc>
          <w:tcPr>
            <w:tcW w:w="882" w:type="dxa"/>
            <w:noWrap w:val="0"/>
            <w:vAlign w:val="center"/>
          </w:tcPr>
          <w:p>
            <w:pPr>
              <w:spacing w:line="260" w:lineRule="exact"/>
              <w:ind w:left="-63" w:leftChars="-30" w:right="-63" w:rightChars="-3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96" w:type="dxa"/>
            <w:noWrap w:val="0"/>
            <w:vAlign w:val="center"/>
          </w:tcPr>
          <w:p>
            <w:pPr>
              <w:widowControl/>
              <w:spacing w:line="270" w:lineRule="exact"/>
              <w:ind w:left="-63" w:leftChars="-30" w:right="-63" w:rightChars="-3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643"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广东省</w:t>
            </w:r>
            <w:r>
              <w:rPr>
                <w:rFonts w:ascii="宋体" w:hAnsi="宋体" w:cs="宋体"/>
                <w:color w:val="000000"/>
                <w:sz w:val="18"/>
                <w:szCs w:val="18"/>
                <w:lang w:bidi="ar"/>
              </w:rPr>
              <w:t>住房和城市建设厅（</w:t>
            </w:r>
            <w:r>
              <w:rPr>
                <w:rFonts w:hint="eastAsia" w:ascii="宋体" w:hAnsi="宋体" w:cs="宋体"/>
                <w:color w:val="000000"/>
                <w:sz w:val="18"/>
                <w:szCs w:val="18"/>
                <w:lang w:bidi="ar"/>
              </w:rPr>
              <w:t>深圳市住房建设局</w:t>
            </w:r>
            <w:r>
              <w:rPr>
                <w:rFonts w:ascii="宋体" w:hAnsi="宋体" w:cs="宋体"/>
                <w:color w:val="000000"/>
                <w:sz w:val="18"/>
                <w:szCs w:val="18"/>
                <w:lang w:bidi="ar"/>
              </w:rPr>
              <w:t>）</w:t>
            </w:r>
          </w:p>
        </w:tc>
        <w:tc>
          <w:tcPr>
            <w:tcW w:w="873"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瓶装</w:t>
            </w:r>
            <w:r>
              <w:rPr>
                <w:rFonts w:ascii="宋体" w:hAnsi="宋体" w:cs="宋体"/>
                <w:color w:val="000000"/>
                <w:sz w:val="18"/>
                <w:szCs w:val="18"/>
                <w:lang w:bidi="ar"/>
              </w:rPr>
              <w:t>燃气供应站设立许可</w:t>
            </w:r>
          </w:p>
        </w:tc>
        <w:tc>
          <w:tcPr>
            <w:tcW w:w="844"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深圳市</w:t>
            </w:r>
            <w:r>
              <w:rPr>
                <w:rFonts w:ascii="宋体" w:hAnsi="宋体" w:cs="宋体"/>
                <w:color w:val="000000"/>
                <w:spacing w:val="-30"/>
                <w:sz w:val="18"/>
                <w:szCs w:val="18"/>
                <w:lang w:bidi="ar"/>
              </w:rPr>
              <w:t>县</w:t>
            </w:r>
            <w:r>
              <w:rPr>
                <w:rFonts w:hint="eastAsia" w:ascii="宋体" w:hAnsi="宋体" w:cs="宋体"/>
                <w:color w:val="000000"/>
                <w:sz w:val="18"/>
                <w:szCs w:val="18"/>
                <w:lang w:bidi="ar"/>
              </w:rPr>
              <w:t>（区）级</w:t>
            </w:r>
            <w:r>
              <w:rPr>
                <w:rFonts w:ascii="宋体" w:hAnsi="宋体" w:cs="宋体"/>
                <w:color w:val="000000"/>
                <w:sz w:val="18"/>
                <w:szCs w:val="18"/>
                <w:lang w:bidi="ar"/>
              </w:rPr>
              <w:t>住房城乡建设部门</w:t>
            </w:r>
          </w:p>
        </w:tc>
        <w:tc>
          <w:tcPr>
            <w:tcW w:w="873"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《深圳市</w:t>
            </w:r>
            <w:r>
              <w:rPr>
                <w:rFonts w:ascii="宋体" w:hAnsi="宋体" w:cs="宋体"/>
                <w:color w:val="000000"/>
                <w:sz w:val="18"/>
                <w:szCs w:val="18"/>
                <w:lang w:bidi="ar"/>
              </w:rPr>
              <w:t>燃气条例</w:t>
            </w:r>
            <w:r>
              <w:rPr>
                <w:rFonts w:hint="eastAsia" w:ascii="宋体" w:hAnsi="宋体" w:cs="宋体"/>
                <w:color w:val="000000"/>
                <w:sz w:val="18"/>
                <w:szCs w:val="18"/>
                <w:lang w:bidi="ar"/>
              </w:rPr>
              <w:t>》</w:t>
            </w:r>
          </w:p>
        </w:tc>
        <w:tc>
          <w:tcPr>
            <w:tcW w:w="661"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p>
        </w:tc>
        <w:tc>
          <w:tcPr>
            <w:tcW w:w="647"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p>
        </w:tc>
        <w:tc>
          <w:tcPr>
            <w:tcW w:w="633"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w:t>
            </w:r>
            <w:r>
              <w:rPr>
                <w:rFonts w:ascii="宋体" w:hAnsi="宋体" w:cs="宋体"/>
                <w:color w:val="000000"/>
                <w:sz w:val="18"/>
                <w:szCs w:val="18"/>
                <w:lang w:bidi="ar"/>
              </w:rPr>
              <w:t>（</w:t>
            </w:r>
            <w:r>
              <w:rPr>
                <w:rFonts w:hint="eastAsia" w:ascii="宋体" w:hAnsi="宋体" w:cs="宋体"/>
                <w:color w:val="000000"/>
                <w:sz w:val="18"/>
                <w:szCs w:val="18"/>
                <w:lang w:bidi="ar"/>
              </w:rPr>
              <w:t>全市</w:t>
            </w:r>
            <w:r>
              <w:rPr>
                <w:rFonts w:ascii="宋体" w:hAnsi="宋体" w:cs="宋体"/>
                <w:color w:val="000000"/>
                <w:sz w:val="18"/>
                <w:szCs w:val="18"/>
                <w:lang w:bidi="ar"/>
              </w:rPr>
              <w:t>范围内）</w:t>
            </w:r>
          </w:p>
        </w:tc>
        <w:tc>
          <w:tcPr>
            <w:tcW w:w="660"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p>
        </w:tc>
        <w:tc>
          <w:tcPr>
            <w:tcW w:w="2496"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一次性告知申请人申请设立瓶装燃气供应站的条件和需提交的材料。申请人承诺已经具备许可条件并提交材料的，经形式审查后作出审批决定。</w:t>
            </w:r>
          </w:p>
        </w:tc>
        <w:tc>
          <w:tcPr>
            <w:tcW w:w="2714" w:type="dxa"/>
            <w:noWrap w:val="0"/>
            <w:vAlign w:val="center"/>
          </w:tcPr>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1．发现企业不符合承诺条件开展经营的责令限期整改，逾期不整改或整改后仍达不到要求的依法撤销许可证件。</w:t>
            </w:r>
          </w:p>
          <w:p>
            <w:pPr>
              <w:widowControl/>
              <w:spacing w:line="270" w:lineRule="exact"/>
              <w:ind w:left="-63" w:leftChars="-30" w:right="-63" w:rightChars="-30"/>
              <w:textAlignment w:val="center"/>
              <w:rPr>
                <w:rFonts w:ascii="宋体" w:hAnsi="宋体" w:cs="宋体"/>
                <w:color w:val="000000"/>
                <w:spacing w:val="-34"/>
                <w:sz w:val="18"/>
                <w:szCs w:val="18"/>
                <w:lang w:bidi="ar"/>
              </w:rPr>
            </w:pPr>
            <w:r>
              <w:rPr>
                <w:rFonts w:hint="eastAsia" w:ascii="宋体" w:hAnsi="宋体" w:cs="宋体"/>
                <w:color w:val="000000"/>
                <w:sz w:val="18"/>
                <w:szCs w:val="18"/>
                <w:lang w:bidi="ar"/>
              </w:rPr>
              <w:t>2</w:t>
            </w:r>
            <w:r>
              <w:rPr>
                <w:rFonts w:hint="eastAsia" w:ascii="宋体" w:hAnsi="宋体" w:cs="宋体"/>
                <w:color w:val="000000"/>
                <w:spacing w:val="-4"/>
                <w:sz w:val="18"/>
                <w:szCs w:val="18"/>
                <w:lang w:bidi="ar"/>
              </w:rPr>
              <w:t>．开展“双随机、一公开”监管</w:t>
            </w:r>
            <w:r>
              <w:rPr>
                <w:rFonts w:hint="eastAsia" w:ascii="宋体" w:hAnsi="宋体" w:cs="宋体"/>
                <w:color w:val="000000"/>
                <w:spacing w:val="-34"/>
                <w:sz w:val="18"/>
                <w:szCs w:val="18"/>
                <w:lang w:bidi="ar"/>
              </w:rPr>
              <w:t>。</w:t>
            </w:r>
          </w:p>
          <w:p>
            <w:pPr>
              <w:widowControl/>
              <w:spacing w:line="270" w:lineRule="exact"/>
              <w:ind w:left="-63" w:leftChars="-30" w:right="-63" w:rightChars="-30"/>
              <w:textAlignment w:val="center"/>
              <w:rPr>
                <w:rFonts w:ascii="宋体" w:hAnsi="宋体" w:cs="宋体"/>
                <w:color w:val="000000"/>
                <w:sz w:val="18"/>
                <w:szCs w:val="18"/>
                <w:lang w:bidi="ar"/>
              </w:rPr>
            </w:pPr>
            <w:r>
              <w:rPr>
                <w:rFonts w:hint="eastAsia" w:ascii="宋体" w:hAnsi="宋体" w:cs="宋体"/>
                <w:color w:val="000000"/>
                <w:sz w:val="18"/>
                <w:szCs w:val="18"/>
                <w:lang w:bidi="ar"/>
              </w:rPr>
              <w:t>3．加强信用监管，对失信主体开展联合惩戒。</w:t>
            </w:r>
          </w:p>
        </w:tc>
        <w:tc>
          <w:tcPr>
            <w:tcW w:w="912" w:type="dxa"/>
            <w:noWrap w:val="0"/>
            <w:vAlign w:val="center"/>
          </w:tcPr>
          <w:p>
            <w:pPr>
              <w:widowControl/>
              <w:spacing w:line="270" w:lineRule="exact"/>
              <w:ind w:left="-63" w:leftChars="-30" w:right="-63" w:rightChars="-30"/>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市住房建设局</w:t>
            </w:r>
          </w:p>
        </w:tc>
        <w:tc>
          <w:tcPr>
            <w:tcW w:w="882" w:type="dxa"/>
            <w:noWrap w:val="0"/>
            <w:vAlign w:val="center"/>
          </w:tcPr>
          <w:p>
            <w:pPr>
              <w:spacing w:line="260" w:lineRule="exact"/>
              <w:ind w:left="-63" w:leftChars="-30" w:right="-63" w:rightChars="-30"/>
              <w:rPr>
                <w:rFonts w:ascii="宋体" w:hAnsi="宋体"/>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B51A6"/>
    <w:rsid w:val="692B5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2020-04-09T01:41:00Z</dcterms:created>
  <dc:creator>Jus</dc:creator>
  <cp:lastModifiedBy>Jus</cp:lastModifiedBy>
  <dcterms:modified xsi:type="dcterms:W3CDTF">2020-04-09T01:44:58Z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