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深圳市政协</w:t>
      </w:r>
      <w:r>
        <w:rPr>
          <w:rFonts w:hint="eastAsia"/>
          <w:sz w:val="44"/>
          <w:szCs w:val="44"/>
          <w:lang w:val="en-US" w:eastAsia="zh-CN"/>
        </w:rPr>
        <w:t>2019</w:t>
      </w:r>
      <w:r>
        <w:rPr>
          <w:rFonts w:hint="eastAsia"/>
          <w:sz w:val="44"/>
          <w:szCs w:val="44"/>
        </w:rPr>
        <w:t>年提案</w:t>
      </w:r>
      <w:r>
        <w:rPr>
          <w:rFonts w:hint="eastAsia"/>
          <w:sz w:val="44"/>
          <w:szCs w:val="44"/>
          <w:lang w:eastAsia="zh-CN"/>
        </w:rPr>
        <w:t>工作</w:t>
      </w:r>
      <w:r>
        <w:rPr>
          <w:rFonts w:hint="eastAsia"/>
          <w:sz w:val="44"/>
          <w:szCs w:val="44"/>
        </w:rPr>
        <w:t>清单</w:t>
      </w:r>
      <w:bookmarkStart w:id="1" w:name="_GoBack"/>
      <w:bookmarkEnd w:id="1"/>
      <w:r>
        <w:rPr>
          <w:rFonts w:hint="eastAsia"/>
          <w:sz w:val="44"/>
          <w:szCs w:val="44"/>
        </w:rPr>
        <w:t>表</w:t>
      </w:r>
    </w:p>
    <w:p>
      <w:pPr>
        <w:jc w:val="left"/>
        <w:rPr>
          <w:sz w:val="24"/>
        </w:rPr>
      </w:pPr>
      <w:r>
        <w:rPr>
          <w:rFonts w:hint="eastAsia" w:ascii="宋体" w:hAnsi="宋体" w:cs="宋体"/>
          <w:kern w:val="0"/>
          <w:sz w:val="20"/>
          <w:szCs w:val="20"/>
          <w:lang w:val="en-US" w:eastAsia="zh-CN"/>
        </w:rPr>
        <w:t>市医疗保障局</w:t>
      </w:r>
      <w:r>
        <w:rPr>
          <w:sz w:val="24"/>
        </w:rPr>
        <w:t xml:space="preserve">                                                               </w:t>
      </w:r>
      <w:r>
        <w:rPr>
          <w:rFonts w:hint="eastAsia"/>
          <w:sz w:val="24"/>
          <w:szCs w:val="24"/>
        </w:rPr>
        <w:t>整理时间：</w:t>
      </w:r>
      <w:bookmarkStart w:id="0" w:name="OLE_LINK2"/>
      <w:bookmarkEnd w:id="0"/>
      <w:r>
        <w:rPr>
          <w:rFonts w:hint="eastAsia"/>
          <w:sz w:val="24"/>
          <w:szCs w:val="24"/>
          <w:lang w:val="en-US" w:eastAsia="zh-CN"/>
        </w:rPr>
        <w:t>2019年10月12日</w:t>
      </w:r>
    </w:p>
    <w:tbl>
      <w:tblPr>
        <w:tblStyle w:val="2"/>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08"/>
        <w:gridCol w:w="730"/>
        <w:gridCol w:w="749"/>
        <w:gridCol w:w="942"/>
        <w:gridCol w:w="1963"/>
        <w:gridCol w:w="2088"/>
        <w:gridCol w:w="2105"/>
        <w:gridCol w:w="209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590"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案号</w:t>
            </w:r>
          </w:p>
        </w:tc>
        <w:tc>
          <w:tcPr>
            <w:tcW w:w="808"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案由</w:t>
            </w:r>
          </w:p>
        </w:tc>
        <w:tc>
          <w:tcPr>
            <w:tcW w:w="730" w:type="dxa"/>
            <w:vMerge w:val="restart"/>
            <w:vAlign w:val="center"/>
          </w:tcPr>
          <w:p>
            <w:pPr>
              <w:jc w:val="center"/>
              <w:rPr>
                <w:rFonts w:ascii="黑体" w:hAnsi="黑体" w:eastAsia="黑体"/>
                <w:b/>
                <w:kern w:val="0"/>
                <w:szCs w:val="21"/>
              </w:rPr>
            </w:pPr>
            <w:r>
              <w:rPr>
                <w:rFonts w:hint="eastAsia" w:ascii="黑体" w:hAnsi="黑体" w:eastAsia="黑体"/>
                <w:b/>
                <w:kern w:val="0"/>
                <w:szCs w:val="21"/>
              </w:rPr>
              <w:t>第一提案人</w:t>
            </w:r>
          </w:p>
        </w:tc>
        <w:tc>
          <w:tcPr>
            <w:tcW w:w="1691" w:type="dxa"/>
            <w:gridSpan w:val="2"/>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963" w:type="dxa"/>
            <w:vMerge w:val="restart"/>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2088" w:type="dxa"/>
            <w:vMerge w:val="restart"/>
            <w:vAlign w:val="center"/>
          </w:tcPr>
          <w:p>
            <w:pPr>
              <w:jc w:val="center"/>
              <w:rPr>
                <w:rFonts w:ascii="黑体" w:hAnsi="黑体" w:eastAsia="黑体"/>
                <w:b/>
                <w:kern w:val="0"/>
                <w:szCs w:val="21"/>
              </w:rPr>
            </w:pPr>
            <w:r>
              <w:rPr>
                <w:rFonts w:hint="eastAsia" w:ascii="黑体" w:hAnsi="黑体" w:eastAsia="黑体"/>
                <w:b/>
                <w:kern w:val="0"/>
                <w:szCs w:val="21"/>
                <w:lang w:eastAsia="zh-CN"/>
              </w:rPr>
              <w:t>当年</w:t>
            </w:r>
            <w:r>
              <w:rPr>
                <w:rFonts w:hint="eastAsia" w:ascii="黑体" w:hAnsi="黑体" w:eastAsia="黑体"/>
                <w:b/>
                <w:kern w:val="0"/>
                <w:szCs w:val="21"/>
              </w:rPr>
              <w:t>已完成</w:t>
            </w:r>
            <w:r>
              <w:rPr>
                <w:rFonts w:hint="eastAsia" w:ascii="黑体" w:hAnsi="黑体" w:eastAsia="黑体"/>
                <w:b/>
                <w:kern w:val="0"/>
                <w:szCs w:val="21"/>
                <w:lang w:eastAsia="zh-CN"/>
              </w:rPr>
              <w:t>的</w:t>
            </w:r>
            <w:r>
              <w:rPr>
                <w:rFonts w:hint="eastAsia" w:ascii="黑体" w:hAnsi="黑体" w:eastAsia="黑体"/>
                <w:b/>
                <w:kern w:val="0"/>
                <w:szCs w:val="21"/>
              </w:rPr>
              <w:t>事项</w:t>
            </w:r>
          </w:p>
        </w:tc>
        <w:tc>
          <w:tcPr>
            <w:tcW w:w="2105" w:type="dxa"/>
            <w:vMerge w:val="restart"/>
            <w:vAlign w:val="center"/>
          </w:tcPr>
          <w:p>
            <w:pPr>
              <w:jc w:val="center"/>
              <w:rPr>
                <w:rFonts w:ascii="黑体" w:hAnsi="黑体" w:eastAsia="黑体"/>
                <w:b/>
                <w:kern w:val="0"/>
                <w:szCs w:val="21"/>
              </w:rPr>
            </w:pPr>
            <w:r>
              <w:rPr>
                <w:rFonts w:hint="eastAsia" w:ascii="黑体" w:hAnsi="黑体" w:eastAsia="黑体"/>
                <w:b/>
                <w:kern w:val="0"/>
                <w:szCs w:val="21"/>
                <w:lang w:eastAsia="zh-CN"/>
              </w:rPr>
              <w:t>当年已</w:t>
            </w:r>
            <w:r>
              <w:rPr>
                <w:rFonts w:hint="eastAsia" w:ascii="黑体" w:hAnsi="黑体" w:eastAsia="黑体"/>
                <w:b/>
                <w:kern w:val="0"/>
                <w:szCs w:val="21"/>
              </w:rPr>
              <w:t>推动的工作</w:t>
            </w:r>
          </w:p>
        </w:tc>
        <w:tc>
          <w:tcPr>
            <w:tcW w:w="2092" w:type="dxa"/>
            <w:vMerge w:val="restart"/>
            <w:vAlign w:val="center"/>
          </w:tcPr>
          <w:p>
            <w:pPr>
              <w:jc w:val="center"/>
              <w:rPr>
                <w:rFonts w:hint="eastAsia" w:ascii="黑体" w:hAnsi="黑体" w:eastAsia="黑体"/>
                <w:b/>
                <w:kern w:val="0"/>
                <w:szCs w:val="21"/>
                <w:lang w:val="en-US" w:eastAsia="zh-CN"/>
              </w:rPr>
            </w:pPr>
            <w:r>
              <w:rPr>
                <w:rFonts w:hint="eastAsia" w:ascii="黑体" w:hAnsi="黑体" w:eastAsia="黑体"/>
                <w:b/>
                <w:kern w:val="0"/>
                <w:szCs w:val="21"/>
                <w:lang w:val="en-US" w:eastAsia="zh-CN"/>
              </w:rPr>
              <w:t>明年待落实事项</w:t>
            </w:r>
          </w:p>
        </w:tc>
        <w:tc>
          <w:tcPr>
            <w:tcW w:w="1301" w:type="dxa"/>
            <w:vMerge w:val="restart"/>
            <w:vAlign w:val="center"/>
          </w:tcPr>
          <w:p>
            <w:pPr>
              <w:jc w:val="center"/>
              <w:rPr>
                <w:rFonts w:hint="eastAsia" w:ascii="黑体" w:hAnsi="黑体" w:eastAsia="黑体"/>
                <w:b/>
                <w:kern w:val="0"/>
                <w:szCs w:val="21"/>
                <w:lang w:val="en-US" w:eastAsia="zh-CN"/>
              </w:rPr>
            </w:pPr>
            <w:r>
              <w:rPr>
                <w:rFonts w:hint="eastAsia" w:ascii="黑体" w:hAnsi="黑体" w:eastAsia="黑体"/>
                <w:b/>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590" w:type="dxa"/>
            <w:vMerge w:val="continue"/>
            <w:vAlign w:val="center"/>
          </w:tcPr>
          <w:p>
            <w:pPr>
              <w:jc w:val="center"/>
              <w:rPr>
                <w:rFonts w:ascii="黑体" w:hAnsi="黑体" w:eastAsia="黑体"/>
                <w:kern w:val="0"/>
                <w:szCs w:val="21"/>
              </w:rPr>
            </w:pPr>
          </w:p>
        </w:tc>
        <w:tc>
          <w:tcPr>
            <w:tcW w:w="808" w:type="dxa"/>
            <w:vMerge w:val="continue"/>
            <w:vAlign w:val="center"/>
          </w:tcPr>
          <w:p>
            <w:pPr>
              <w:rPr>
                <w:rFonts w:ascii="黑体" w:hAnsi="黑体" w:eastAsia="黑体"/>
                <w:kern w:val="0"/>
                <w:szCs w:val="21"/>
              </w:rPr>
            </w:pPr>
          </w:p>
        </w:tc>
        <w:tc>
          <w:tcPr>
            <w:tcW w:w="730" w:type="dxa"/>
            <w:vMerge w:val="continue"/>
            <w:vAlign w:val="center"/>
          </w:tcPr>
          <w:p>
            <w:pPr>
              <w:rPr>
                <w:rFonts w:ascii="黑体" w:hAnsi="黑体" w:eastAsia="黑体"/>
                <w:kern w:val="0"/>
                <w:szCs w:val="21"/>
              </w:rPr>
            </w:pPr>
          </w:p>
        </w:tc>
        <w:tc>
          <w:tcPr>
            <w:tcW w:w="749" w:type="dxa"/>
            <w:vAlign w:val="center"/>
          </w:tcPr>
          <w:p>
            <w:pPr>
              <w:jc w:val="center"/>
              <w:rPr>
                <w:rFonts w:ascii="黑体" w:hAnsi="黑体" w:eastAsia="黑体"/>
                <w:b/>
                <w:kern w:val="0"/>
                <w:szCs w:val="21"/>
              </w:rPr>
            </w:pPr>
            <w:r>
              <w:rPr>
                <w:rFonts w:hint="eastAsia" w:ascii="黑体" w:hAnsi="黑体" w:eastAsia="黑体"/>
                <w:b/>
                <w:kern w:val="0"/>
                <w:szCs w:val="21"/>
              </w:rPr>
              <w:t>承办</w:t>
            </w:r>
          </w:p>
          <w:p>
            <w:pPr>
              <w:jc w:val="center"/>
              <w:rPr>
                <w:rFonts w:ascii="黑体" w:hAnsi="黑体" w:eastAsia="黑体"/>
                <w:b/>
                <w:kern w:val="0"/>
                <w:szCs w:val="21"/>
              </w:rPr>
            </w:pPr>
            <w:r>
              <w:rPr>
                <w:rFonts w:hint="eastAsia" w:ascii="黑体" w:hAnsi="黑体" w:eastAsia="黑体"/>
                <w:b/>
                <w:kern w:val="0"/>
                <w:szCs w:val="21"/>
              </w:rPr>
              <w:t>（主办）</w:t>
            </w:r>
          </w:p>
        </w:tc>
        <w:tc>
          <w:tcPr>
            <w:tcW w:w="942" w:type="dxa"/>
            <w:vAlign w:val="center"/>
          </w:tcPr>
          <w:p>
            <w:pPr>
              <w:jc w:val="center"/>
              <w:rPr>
                <w:rFonts w:ascii="黑体" w:hAnsi="黑体" w:eastAsia="黑体"/>
                <w:b/>
                <w:kern w:val="0"/>
                <w:szCs w:val="21"/>
              </w:rPr>
            </w:pPr>
            <w:r>
              <w:rPr>
                <w:rFonts w:hint="eastAsia" w:ascii="黑体" w:hAnsi="黑体" w:eastAsia="黑体"/>
                <w:b/>
                <w:kern w:val="0"/>
                <w:szCs w:val="21"/>
              </w:rPr>
              <w:t>分办</w:t>
            </w:r>
          </w:p>
          <w:p>
            <w:pPr>
              <w:jc w:val="center"/>
              <w:rPr>
                <w:rFonts w:ascii="黑体" w:hAnsi="黑体" w:eastAsia="黑体"/>
                <w:b/>
                <w:kern w:val="0"/>
                <w:szCs w:val="21"/>
              </w:rPr>
            </w:pPr>
            <w:r>
              <w:rPr>
                <w:rFonts w:hint="eastAsia" w:ascii="黑体" w:hAnsi="黑体" w:eastAsia="黑体"/>
                <w:b/>
                <w:kern w:val="0"/>
                <w:szCs w:val="21"/>
              </w:rPr>
              <w:t>（会办）</w:t>
            </w:r>
          </w:p>
        </w:tc>
        <w:tc>
          <w:tcPr>
            <w:tcW w:w="1963" w:type="dxa"/>
            <w:vMerge w:val="continue"/>
            <w:vAlign w:val="center"/>
          </w:tcPr>
          <w:p>
            <w:pPr>
              <w:rPr>
                <w:rFonts w:ascii="黑体" w:hAnsi="黑体" w:eastAsia="黑体"/>
                <w:b/>
                <w:bCs/>
                <w:kern w:val="0"/>
                <w:szCs w:val="21"/>
              </w:rPr>
            </w:pPr>
          </w:p>
        </w:tc>
        <w:tc>
          <w:tcPr>
            <w:tcW w:w="2088" w:type="dxa"/>
            <w:vMerge w:val="continue"/>
            <w:vAlign w:val="center"/>
          </w:tcPr>
          <w:p>
            <w:pPr>
              <w:rPr>
                <w:rFonts w:ascii="黑体" w:hAnsi="黑体" w:eastAsia="黑体"/>
                <w:b/>
                <w:bCs/>
                <w:kern w:val="0"/>
                <w:szCs w:val="21"/>
              </w:rPr>
            </w:pPr>
          </w:p>
        </w:tc>
        <w:tc>
          <w:tcPr>
            <w:tcW w:w="2105" w:type="dxa"/>
            <w:vMerge w:val="continue"/>
            <w:vAlign w:val="center"/>
          </w:tcPr>
          <w:p>
            <w:pPr>
              <w:rPr>
                <w:rFonts w:ascii="黑体" w:hAnsi="黑体" w:eastAsia="黑体"/>
                <w:b/>
                <w:bCs/>
                <w:kern w:val="0"/>
                <w:szCs w:val="21"/>
              </w:rPr>
            </w:pPr>
          </w:p>
        </w:tc>
        <w:tc>
          <w:tcPr>
            <w:tcW w:w="2092" w:type="dxa"/>
            <w:vMerge w:val="continue"/>
            <w:vAlign w:val="center"/>
          </w:tcPr>
          <w:p>
            <w:pPr>
              <w:rPr>
                <w:rFonts w:ascii="黑体" w:hAnsi="黑体" w:eastAsia="黑体"/>
                <w:b/>
                <w:bCs/>
                <w:kern w:val="0"/>
                <w:szCs w:val="21"/>
              </w:rPr>
            </w:pPr>
          </w:p>
        </w:tc>
        <w:tc>
          <w:tcPr>
            <w:tcW w:w="1301" w:type="dxa"/>
            <w:vMerge w:val="continue"/>
            <w:vAlign w:val="center"/>
          </w:tcPr>
          <w:p>
            <w:pPr>
              <w:rPr>
                <w:rFonts w:ascii="黑体" w:hAnsi="黑体" w:eastAsia="黑体"/>
                <w:b/>
                <w:bCs/>
                <w:kern w:val="0"/>
                <w:szCs w:val="21"/>
              </w:rPr>
            </w:pPr>
          </w:p>
        </w:tc>
      </w:tr>
      <w:tr>
        <w:tc>
          <w:tcPr>
            <w:tcW w:w="2310" w:type="dxa"/>
            <w:vMerge w:val="restart"/>
          </w:tcPr>
          <w:p>
            <w:pPr/>
            <w:r>
              <w:rPr>
                <w:lang w:val="zh-CN"/>
              </w:rPr>
              <w:t>20190229</w:t>
            </w:r>
          </w:p>
        </w:tc>
        <w:tc>
          <w:tcPr>
            <w:tcW w:w="2310" w:type="dxa"/>
            <w:vMerge w:val="restart"/>
          </w:tcPr>
          <w:p>
            <w:pPr/>
            <w:r>
              <w:rPr>
                <w:lang w:val="zh-CN"/>
              </w:rPr>
              <w:t>关于门诊药房与社会化药房建设的建议</w:t>
            </w:r>
          </w:p>
        </w:tc>
        <w:tc>
          <w:tcPr>
            <w:tcW w:w="2310" w:type="dxa"/>
            <w:vMerge w:val="restart"/>
          </w:tcPr>
          <w:p>
            <w:pPr/>
            <w:r>
              <w:rPr>
                <w:lang w:val="zh-CN"/>
              </w:rPr>
              <w:t>何志强</w:t>
            </w:r>
          </w:p>
        </w:tc>
        <w:tc>
          <w:tcPr>
            <w:tcW w:w="2310" w:type="dxa"/>
            <w:vMerge w:val="restart"/>
          </w:tcPr>
          <w:p>
            <w:pPr/>
            <w:r>
              <w:rPr>
                <w:lang w:val="zh-CN"/>
              </w:rPr>
              <w:t>市卫生健康委员会,市医疗保障局</w:t>
            </w:r>
          </w:p>
        </w:tc>
        <w:tc>
          <w:tcPr>
            <w:tcW w:w="2310" w:type="dxa"/>
            <w:vMerge w:val="restart"/>
          </w:tcPr>
          <w:p>
            <w:pPr/>
            <w:r>
              <w:rPr>
                <w:lang w:val="zh-CN"/>
              </w:rPr>
              <w:t xml:space="preserve"> </w:t>
            </w:r>
          </w:p>
        </w:tc>
        <w:tc>
          <w:tcPr>
            <w:tcW w:w="2310" w:type="dxa"/>
          </w:tcPr>
          <w:p>
            <w:pPr/>
            <w:r>
              <w:rPr>
                <w:lang w:val="zh-CN"/>
              </w:rPr>
              <w:t>1.对药品分类，形成门诊药房与社会化药房的联网机制，提高服务价值</w:t>
            </w:r>
          </w:p>
        </w:tc>
        <w:tc>
          <w:tcPr>
            <w:tcW w:w="2310" w:type="dxa"/>
          </w:tcPr>
          <w:p>
            <w:pPr/>
            <w:r>
              <w:rPr>
                <w:lang w:val="zh-CN"/>
              </w:rPr>
              <w:t>医疗保障局已建立了联网机制。</w:t>
            </w:r>
          </w:p>
        </w:tc>
        <w:tc>
          <w:tcPr>
            <w:tcW w:w="2310" w:type="dxa"/>
          </w:tcPr>
          <w:p>
            <w:pP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2.引导药事人员往社会化药房转型，提高社会化药房的用药指导水平</w:t>
            </w:r>
          </w:p>
        </w:tc>
        <w:tc>
          <w:tcPr>
            <w:tcW w:w="2310" w:type="dxa"/>
          </w:tcPr>
          <w:p>
            <w:pPr/>
            <w:r>
              <w:rPr>
                <w:lang w:val="zh-CN"/>
              </w:rPr>
              <w:t>通过执行《深圳市社会保险定点零售药店服务协议书》，加强对协议药师的管理要求。</w:t>
            </w:r>
          </w:p>
        </w:tc>
        <w:tc>
          <w:tcPr>
            <w:tcW w:w="2310" w:type="dxa"/>
          </w:tcPr>
          <w:p>
            <w:pPr/>
            <w:r>
              <w:rPr>
                <w:lang w:val="zh-CN"/>
              </w:rPr>
              <w:t>继续完善医保协议药师管理制度</w:t>
            </w: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3.加强对门诊药房及医保社会药房的监管与规范</w:t>
            </w:r>
          </w:p>
        </w:tc>
        <w:tc>
          <w:tcPr>
            <w:tcW w:w="2310" w:type="dxa"/>
          </w:tcPr>
          <w:p>
            <w:pPr/>
            <w:r>
              <w:rPr>
                <w:lang w:val="zh-CN"/>
              </w:rPr>
              <w:t>通过加强现场监督巡查、医保智能监控系统监控、投诉举报调查处理、信用等级管理等方式对门诊药房及医保社会药房进行监督管理。</w:t>
            </w:r>
            <w:r>
              <w:rPr>
                <w:lang w:val="zh-CN"/>
              </w:rPr>
              <w:br/>
            </w:r>
            <w:r>
              <w:rPr>
                <w:lang w:val="zh-CN"/>
              </w:rPr>
              <w:t>医疗保障局已制定了《深圳市医疗保障局关于开展打击欺诈骗取医疗保障基金专项治理工作实施方案》，对全市定点零售药店进行专项检查，严格规范定点零售药店的医保服务行为。</w:t>
            </w:r>
          </w:p>
        </w:tc>
        <w:tc>
          <w:tcPr>
            <w:tcW w:w="2310" w:type="dxa"/>
          </w:tcPr>
          <w:p>
            <w:pPr/>
            <w:r>
              <w:rPr>
                <w:lang w:val="zh-CN"/>
              </w:rPr>
              <w:t>联合市场监管委、卫健委、公安局等部门认真处理投诉举报案件。</w:t>
            </w:r>
          </w:p>
        </w:tc>
        <w:tc>
          <w:tcPr>
            <w:tcW w:w="2310" w:type="dxa"/>
          </w:tcPr>
          <w:p>
            <w:pPr/>
            <w:r>
              <w:rPr>
                <w:lang w:val="zh-CN"/>
              </w:rPr>
              <w:t>我市已获批成为医保诚信体系建设国家试点，利用一年半时间，建立我市定点医药机构信用档案，建立医保“黑名单”制度，推动医疗保险行业自律。</w:t>
            </w:r>
          </w:p>
        </w:tc>
        <w:tc>
          <w:tcPr>
            <w:tcW w:w="2310" w:type="dxa"/>
          </w:tcPr>
          <w:p>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664139"/>
    <w:rsid w:val="172D20D6"/>
    <w:rsid w:val="180264EE"/>
    <w:rsid w:val="349E50A3"/>
    <w:rsid w:val="392A61C5"/>
    <w:rsid w:val="4ADF6A2B"/>
    <w:rsid w:val="4B177DEB"/>
    <w:rsid w:val="4BA1709E"/>
    <w:rsid w:val="4C8D0060"/>
    <w:rsid w:val="55544710"/>
    <w:rsid w:val="566775E1"/>
    <w:rsid w:val="593A72C1"/>
    <w:rsid w:val="65125460"/>
    <w:rsid w:val="6C407861"/>
    <w:rsid w:val="762F3E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2019-06-13T02:28:39Z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