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Arial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 w:themeColor="text1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pacing w:val="-12"/>
          <w:sz w:val="44"/>
          <w:szCs w:val="44"/>
        </w:rPr>
      </w:pPr>
      <w:r>
        <w:rPr>
          <w:rFonts w:hint="eastAsia" w:eastAsia="方正小标宋简体"/>
          <w:color w:val="000000" w:themeColor="text1"/>
          <w:spacing w:val="-12"/>
          <w:sz w:val="44"/>
          <w:szCs w:val="44"/>
        </w:rPr>
        <w:t>部分不合格项目小知识</w:t>
      </w:r>
    </w:p>
    <w:p>
      <w:pPr>
        <w:spacing w:line="560" w:lineRule="exact"/>
        <w:ind w:firstLine="643" w:firstLineChars="200"/>
        <w:rPr>
          <w:rFonts w:ascii="黑体" w:hAnsi="黑体" w:eastAsia="黑体" w:cs="仿宋_GB2312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一、不合格项目小知识</w:t>
      </w:r>
    </w:p>
    <w:p>
      <w:pPr>
        <w:spacing w:line="560" w:lineRule="exact"/>
        <w:ind w:firstLine="643" w:firstLineChars="200"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color w:val="000000" w:themeColor="text1"/>
          <w:sz w:val="32"/>
          <w:szCs w:val="32"/>
        </w:rPr>
        <w:t>（一）酸价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酸价主要反映食品中的油脂酸败程度。《食用调和油》SB/T 10292-1998中规定，调和油的</w:t>
      </w:r>
      <w:r>
        <w:rPr>
          <w:rFonts w:ascii="仿宋" w:hAnsi="仿宋" w:eastAsia="仿宋"/>
          <w:sz w:val="32"/>
          <w:szCs w:val="32"/>
        </w:rPr>
        <w:t>酸价(KOH)</w:t>
      </w:r>
      <w:r>
        <w:rPr>
          <w:rFonts w:hint="eastAsia" w:ascii="仿宋" w:hAnsi="仿宋" w:eastAsia="仿宋"/>
          <w:color w:val="FF0000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≤1.0 mg/g</w:t>
      </w:r>
      <w:r>
        <w:rPr>
          <w:rFonts w:hint="eastAsia" w:ascii="仿宋" w:hAnsi="仿宋" w:eastAsia="仿宋"/>
          <w:sz w:val="32"/>
          <w:szCs w:val="32"/>
        </w:rPr>
        <w:t>。《食品安全国家标准 糕点、面包》GB 7099-2015中规定，糕点的酸价(以脂肪计)应</w:t>
      </w:r>
      <w:r>
        <w:rPr>
          <w:rFonts w:ascii="仿宋" w:hAnsi="仿宋" w:eastAsia="仿宋"/>
          <w:sz w:val="32"/>
          <w:szCs w:val="32"/>
        </w:rPr>
        <w:t>≤5 mg/g</w:t>
      </w:r>
      <w:r>
        <w:rPr>
          <w:rFonts w:hint="eastAsia" w:ascii="仿宋" w:hAnsi="仿宋" w:eastAsia="仿宋"/>
          <w:sz w:val="32"/>
          <w:szCs w:val="32"/>
        </w:rPr>
        <w:t>。《食品安全国家标准 坚果与籽类食品》GB 19300-2014中规定，熟制坚果与籽类食品的酸价(以脂肪计)应</w:t>
      </w:r>
      <w:r>
        <w:rPr>
          <w:rFonts w:ascii="仿宋" w:hAnsi="仿宋" w:eastAsia="仿宋"/>
          <w:sz w:val="32"/>
          <w:szCs w:val="32"/>
        </w:rPr>
        <w:t>≤3 mg/g</w:t>
      </w:r>
      <w:r>
        <w:rPr>
          <w:rFonts w:hint="eastAsia" w:ascii="仿宋" w:hAnsi="仿宋" w:eastAsia="仿宋"/>
          <w:sz w:val="32"/>
          <w:szCs w:val="32"/>
        </w:rPr>
        <w:t>。酸价过高会导致食品有哈喇味，所产生的醛、酮、酸会破坏脂溶性维生素，会导致肠胃不适症状，</w:t>
      </w:r>
      <w:r>
        <w:rPr>
          <w:rFonts w:ascii="仿宋" w:hAnsi="仿宋" w:eastAsia="仿宋"/>
          <w:sz w:val="32"/>
          <w:szCs w:val="32"/>
        </w:rPr>
        <w:t>特别是对抵抗能力较弱</w:t>
      </w:r>
      <w:r>
        <w:rPr>
          <w:rFonts w:hint="eastAsia" w:ascii="仿宋" w:hAnsi="仿宋" w:eastAsia="仿宋"/>
          <w:sz w:val="32"/>
          <w:szCs w:val="32"/>
        </w:rPr>
        <w:t>的老人、孕</w:t>
      </w:r>
      <w:r>
        <w:rPr>
          <w:rFonts w:ascii="仿宋" w:hAnsi="仿宋" w:eastAsia="仿宋"/>
          <w:sz w:val="32"/>
          <w:szCs w:val="32"/>
        </w:rPr>
        <w:t>妇、小孩危害更明显。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黑体" w:hAnsi="黑体" w:eastAsia="黑体" w:cs="仿宋_GB2312"/>
          <w:b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b/>
          <w:color w:val="000000" w:themeColor="text1"/>
          <w:sz w:val="32"/>
          <w:szCs w:val="32"/>
        </w:rPr>
        <w:t>二、建议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根据流通环节抽检不合格项目，建议食品经营企业：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left="708"/>
        <w:jc w:val="both"/>
        <w:rPr>
          <w:rStyle w:val="8"/>
          <w:rFonts w:ascii="楷体" w:hAnsi="楷体" w:eastAsia="楷体"/>
          <w:color w:val="2B2B2B"/>
          <w:sz w:val="32"/>
          <w:szCs w:val="32"/>
        </w:rPr>
      </w:pPr>
      <w:r>
        <w:rPr>
          <w:rStyle w:val="8"/>
          <w:rFonts w:hint="eastAsia" w:ascii="楷体" w:hAnsi="楷体" w:eastAsia="楷体"/>
          <w:color w:val="2B2B2B"/>
          <w:sz w:val="32"/>
          <w:szCs w:val="32"/>
        </w:rPr>
        <w:t>（一）严格把关食品质量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食品经营者应当建立食品进货查验记录和索证索票制度，如实记录食品的生产批号、保质期、供货者名称及联系方式、进货日期等内容，并查验供货者的许可证和包含必要检测项目的食品合格证明文件，确保</w:t>
      </w:r>
      <w:r>
        <w:rPr>
          <w:rFonts w:hint="eastAsia" w:ascii="仿宋" w:hAnsi="仿宋" w:eastAsia="仿宋"/>
          <w:color w:val="auto"/>
          <w:sz w:val="32"/>
          <w:szCs w:val="32"/>
        </w:rPr>
        <w:t>销售</w:t>
      </w:r>
      <w:r>
        <w:rPr>
          <w:rFonts w:hint="eastAsia" w:ascii="仿宋" w:hAnsi="仿宋" w:eastAsia="仿宋"/>
          <w:sz w:val="32"/>
          <w:szCs w:val="32"/>
        </w:rPr>
        <w:t>的食品</w:t>
      </w:r>
      <w:r>
        <w:rPr>
          <w:rFonts w:hint="eastAsia" w:ascii="仿宋" w:hAnsi="仿宋" w:eastAsia="仿宋"/>
          <w:color w:val="2B2B2B"/>
          <w:sz w:val="32"/>
          <w:szCs w:val="32"/>
        </w:rPr>
        <w:t>符合标准的有关规定和要求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8"/>
          <w:rFonts w:ascii="楷体" w:hAnsi="楷体" w:eastAsia="楷体"/>
          <w:color w:val="2B2B2B"/>
          <w:sz w:val="32"/>
          <w:szCs w:val="32"/>
        </w:rPr>
      </w:pPr>
      <w:r>
        <w:rPr>
          <w:rStyle w:val="8"/>
          <w:rFonts w:hint="eastAsia" w:ascii="楷体" w:hAnsi="楷体" w:eastAsia="楷体"/>
          <w:color w:val="2B2B2B"/>
          <w:sz w:val="32"/>
          <w:szCs w:val="32"/>
        </w:rPr>
        <w:t>（二）保证食品运输、贮存环境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食品经营者应保证运输和装卸食品的容器、工具和设备清洁、无害，保证食品的经营环境和储存环境等符合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食</w:t>
      </w:r>
      <w:r>
        <w:rPr>
          <w:rFonts w:hint="eastAsia" w:ascii="仿宋" w:hAnsi="仿宋" w:eastAsia="仿宋"/>
          <w:sz w:val="32"/>
          <w:szCs w:val="32"/>
        </w:rPr>
        <w:t>品所需的环境，并及时清理变质、超过保质期及其他不符合标准要求的食品；针对特殊贮存要求的食品，食品经营者在运输、贮藏时应当符合食品安全所需要的温度、空间隔离等特殊要求，防止交叉污染。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Style w:val="8"/>
          <w:rFonts w:ascii="楷体" w:hAnsi="楷体" w:eastAsia="楷体"/>
          <w:color w:val="2B2B2B"/>
          <w:sz w:val="32"/>
          <w:szCs w:val="32"/>
        </w:rPr>
      </w:pPr>
      <w:r>
        <w:rPr>
          <w:rStyle w:val="8"/>
          <w:rFonts w:hint="eastAsia" w:ascii="楷体" w:hAnsi="楷体" w:eastAsia="楷体"/>
          <w:color w:val="2B2B2B"/>
          <w:sz w:val="32"/>
          <w:szCs w:val="32"/>
        </w:rPr>
        <w:t>（三）加强食品从业人员培训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800" w:firstLineChars="250"/>
        <w:jc w:val="both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食品经营者</w:t>
      </w:r>
      <w:r>
        <w:rPr>
          <w:rFonts w:ascii="仿宋" w:hAnsi="仿宋" w:eastAsia="仿宋"/>
          <w:sz w:val="32"/>
          <w:szCs w:val="32"/>
        </w:rPr>
        <w:t>应建立食品相关岗位的培训制度，</w:t>
      </w:r>
      <w:r>
        <w:rPr>
          <w:rFonts w:hint="eastAsia" w:ascii="仿宋" w:hAnsi="仿宋" w:eastAsia="仿宋"/>
          <w:sz w:val="32"/>
          <w:szCs w:val="32"/>
        </w:rPr>
        <w:t>加强日常监管及培训，</w:t>
      </w:r>
      <w:r>
        <w:rPr>
          <w:rFonts w:ascii="仿宋" w:hAnsi="仿宋" w:eastAsia="仿宋"/>
          <w:sz w:val="32"/>
          <w:szCs w:val="32"/>
        </w:rPr>
        <w:t>对食品</w:t>
      </w:r>
      <w:r>
        <w:rPr>
          <w:rFonts w:hint="eastAsia" w:ascii="仿宋" w:hAnsi="仿宋" w:eastAsia="仿宋"/>
          <w:sz w:val="32"/>
          <w:szCs w:val="32"/>
        </w:rPr>
        <w:t>销售</w:t>
      </w:r>
      <w:r>
        <w:rPr>
          <w:rFonts w:ascii="仿宋" w:hAnsi="仿宋" w:eastAsia="仿宋"/>
          <w:sz w:val="32"/>
          <w:szCs w:val="32"/>
        </w:rPr>
        <w:t>人员以及相关岗位的从业人员进行相应的食品安全知识培训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sz w:val="32"/>
        </w:rPr>
        <w:t>提高从业人员的食品安全意识和维护食品安全能力</w:t>
      </w:r>
      <w:r>
        <w:rPr>
          <w:rFonts w:ascii="仿宋" w:hAnsi="仿宋" w:eastAsia="仿宋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40D71"/>
    <w:rsid w:val="00004DB3"/>
    <w:rsid w:val="0001248C"/>
    <w:rsid w:val="00020EAA"/>
    <w:rsid w:val="00023D16"/>
    <w:rsid w:val="000276EE"/>
    <w:rsid w:val="00030F39"/>
    <w:rsid w:val="00032538"/>
    <w:rsid w:val="000338FA"/>
    <w:rsid w:val="00035BF4"/>
    <w:rsid w:val="00040D71"/>
    <w:rsid w:val="00044B2D"/>
    <w:rsid w:val="0004778C"/>
    <w:rsid w:val="000518A7"/>
    <w:rsid w:val="00071380"/>
    <w:rsid w:val="000738DF"/>
    <w:rsid w:val="00073BFA"/>
    <w:rsid w:val="00074F6A"/>
    <w:rsid w:val="000821AB"/>
    <w:rsid w:val="000B08E7"/>
    <w:rsid w:val="000B6093"/>
    <w:rsid w:val="000C3343"/>
    <w:rsid w:val="000C4E7D"/>
    <w:rsid w:val="000D0EA8"/>
    <w:rsid w:val="000D555F"/>
    <w:rsid w:val="000D6FFE"/>
    <w:rsid w:val="000E2F6B"/>
    <w:rsid w:val="000F5F41"/>
    <w:rsid w:val="00102A23"/>
    <w:rsid w:val="00117748"/>
    <w:rsid w:val="00117D05"/>
    <w:rsid w:val="001345A3"/>
    <w:rsid w:val="001372D9"/>
    <w:rsid w:val="0014337A"/>
    <w:rsid w:val="001517B0"/>
    <w:rsid w:val="00152D13"/>
    <w:rsid w:val="00154CAA"/>
    <w:rsid w:val="00160E55"/>
    <w:rsid w:val="001618B6"/>
    <w:rsid w:val="0017157D"/>
    <w:rsid w:val="00182372"/>
    <w:rsid w:val="0019148B"/>
    <w:rsid w:val="001A2AAA"/>
    <w:rsid w:val="001B4BBC"/>
    <w:rsid w:val="001D639F"/>
    <w:rsid w:val="001F221F"/>
    <w:rsid w:val="001F4A92"/>
    <w:rsid w:val="00205F68"/>
    <w:rsid w:val="00213E7B"/>
    <w:rsid w:val="002178AC"/>
    <w:rsid w:val="002200B2"/>
    <w:rsid w:val="00221768"/>
    <w:rsid w:val="00221DA8"/>
    <w:rsid w:val="00231176"/>
    <w:rsid w:val="002349E5"/>
    <w:rsid w:val="00241DB9"/>
    <w:rsid w:val="00242A69"/>
    <w:rsid w:val="00242CDF"/>
    <w:rsid w:val="0026230D"/>
    <w:rsid w:val="002671C8"/>
    <w:rsid w:val="00277FEA"/>
    <w:rsid w:val="00284FFE"/>
    <w:rsid w:val="00286E02"/>
    <w:rsid w:val="00287612"/>
    <w:rsid w:val="002940D0"/>
    <w:rsid w:val="0029681F"/>
    <w:rsid w:val="002A10E0"/>
    <w:rsid w:val="002A4120"/>
    <w:rsid w:val="002A5ABF"/>
    <w:rsid w:val="002B5671"/>
    <w:rsid w:val="002D2260"/>
    <w:rsid w:val="002D5CDC"/>
    <w:rsid w:val="002D7D42"/>
    <w:rsid w:val="002E1A9A"/>
    <w:rsid w:val="002E7121"/>
    <w:rsid w:val="002E7A60"/>
    <w:rsid w:val="002F661B"/>
    <w:rsid w:val="002F6AF2"/>
    <w:rsid w:val="00302840"/>
    <w:rsid w:val="003145EC"/>
    <w:rsid w:val="00320483"/>
    <w:rsid w:val="003217C2"/>
    <w:rsid w:val="00332A02"/>
    <w:rsid w:val="003439FD"/>
    <w:rsid w:val="00344CD6"/>
    <w:rsid w:val="0036094B"/>
    <w:rsid w:val="0036358C"/>
    <w:rsid w:val="00374D69"/>
    <w:rsid w:val="003910EA"/>
    <w:rsid w:val="003A105E"/>
    <w:rsid w:val="003A7456"/>
    <w:rsid w:val="003B285F"/>
    <w:rsid w:val="003E3863"/>
    <w:rsid w:val="003E4CCE"/>
    <w:rsid w:val="003E7BD4"/>
    <w:rsid w:val="003F2E05"/>
    <w:rsid w:val="003F4780"/>
    <w:rsid w:val="00404951"/>
    <w:rsid w:val="00407D6D"/>
    <w:rsid w:val="0041352D"/>
    <w:rsid w:val="004173F6"/>
    <w:rsid w:val="00423F19"/>
    <w:rsid w:val="004361DC"/>
    <w:rsid w:val="00442CE6"/>
    <w:rsid w:val="004432E7"/>
    <w:rsid w:val="00445FF9"/>
    <w:rsid w:val="0045369D"/>
    <w:rsid w:val="00465B94"/>
    <w:rsid w:val="00474153"/>
    <w:rsid w:val="00485C2D"/>
    <w:rsid w:val="00487895"/>
    <w:rsid w:val="00495C32"/>
    <w:rsid w:val="004A0708"/>
    <w:rsid w:val="004A4837"/>
    <w:rsid w:val="004B00FD"/>
    <w:rsid w:val="004B4C82"/>
    <w:rsid w:val="004C426F"/>
    <w:rsid w:val="004C4885"/>
    <w:rsid w:val="004D1007"/>
    <w:rsid w:val="004E4404"/>
    <w:rsid w:val="004F6ABF"/>
    <w:rsid w:val="005023CC"/>
    <w:rsid w:val="00502813"/>
    <w:rsid w:val="00512C0F"/>
    <w:rsid w:val="00514C4D"/>
    <w:rsid w:val="005154D3"/>
    <w:rsid w:val="00521A4C"/>
    <w:rsid w:val="00524190"/>
    <w:rsid w:val="005263C4"/>
    <w:rsid w:val="00527A95"/>
    <w:rsid w:val="00540617"/>
    <w:rsid w:val="00544656"/>
    <w:rsid w:val="005656E0"/>
    <w:rsid w:val="005713C7"/>
    <w:rsid w:val="0057278A"/>
    <w:rsid w:val="00575E5E"/>
    <w:rsid w:val="0058383A"/>
    <w:rsid w:val="00584DA5"/>
    <w:rsid w:val="00591E9F"/>
    <w:rsid w:val="005921CC"/>
    <w:rsid w:val="00592261"/>
    <w:rsid w:val="005975B9"/>
    <w:rsid w:val="005B6012"/>
    <w:rsid w:val="005C0AD5"/>
    <w:rsid w:val="005C4414"/>
    <w:rsid w:val="005E2AE0"/>
    <w:rsid w:val="005E43F4"/>
    <w:rsid w:val="005E69BF"/>
    <w:rsid w:val="005F3690"/>
    <w:rsid w:val="005F6703"/>
    <w:rsid w:val="00601A31"/>
    <w:rsid w:val="00602933"/>
    <w:rsid w:val="006045FB"/>
    <w:rsid w:val="00604E8B"/>
    <w:rsid w:val="006122F4"/>
    <w:rsid w:val="00615CA4"/>
    <w:rsid w:val="00626D36"/>
    <w:rsid w:val="00635AFB"/>
    <w:rsid w:val="0065490E"/>
    <w:rsid w:val="0065687B"/>
    <w:rsid w:val="0067400C"/>
    <w:rsid w:val="00676A61"/>
    <w:rsid w:val="00677041"/>
    <w:rsid w:val="006843EF"/>
    <w:rsid w:val="0068726E"/>
    <w:rsid w:val="0069283F"/>
    <w:rsid w:val="00694B5D"/>
    <w:rsid w:val="006C33F5"/>
    <w:rsid w:val="006E4A25"/>
    <w:rsid w:val="006E5453"/>
    <w:rsid w:val="006E59B0"/>
    <w:rsid w:val="006E7453"/>
    <w:rsid w:val="00700D7B"/>
    <w:rsid w:val="00704ED0"/>
    <w:rsid w:val="0071410F"/>
    <w:rsid w:val="00726271"/>
    <w:rsid w:val="0073084E"/>
    <w:rsid w:val="007334B5"/>
    <w:rsid w:val="007354F0"/>
    <w:rsid w:val="007365B5"/>
    <w:rsid w:val="00737040"/>
    <w:rsid w:val="00741414"/>
    <w:rsid w:val="007444E4"/>
    <w:rsid w:val="007524FB"/>
    <w:rsid w:val="00755610"/>
    <w:rsid w:val="00757F5B"/>
    <w:rsid w:val="00762B75"/>
    <w:rsid w:val="007657E7"/>
    <w:rsid w:val="007726FB"/>
    <w:rsid w:val="00780AAB"/>
    <w:rsid w:val="00782644"/>
    <w:rsid w:val="00790B1D"/>
    <w:rsid w:val="00793F65"/>
    <w:rsid w:val="007A04C2"/>
    <w:rsid w:val="007A4823"/>
    <w:rsid w:val="007A4B38"/>
    <w:rsid w:val="007A4C53"/>
    <w:rsid w:val="007A76AD"/>
    <w:rsid w:val="007B2099"/>
    <w:rsid w:val="007B2714"/>
    <w:rsid w:val="007B4E41"/>
    <w:rsid w:val="007B6B96"/>
    <w:rsid w:val="007C05DF"/>
    <w:rsid w:val="007C05E7"/>
    <w:rsid w:val="007C5F7A"/>
    <w:rsid w:val="007C6B7A"/>
    <w:rsid w:val="007D07B1"/>
    <w:rsid w:val="007D0CE1"/>
    <w:rsid w:val="007D3698"/>
    <w:rsid w:val="007E7EDB"/>
    <w:rsid w:val="007F407E"/>
    <w:rsid w:val="007F4E02"/>
    <w:rsid w:val="007F56B0"/>
    <w:rsid w:val="007F5CB0"/>
    <w:rsid w:val="007F6A0E"/>
    <w:rsid w:val="00803608"/>
    <w:rsid w:val="00810281"/>
    <w:rsid w:val="00810A1F"/>
    <w:rsid w:val="008156E7"/>
    <w:rsid w:val="008179CB"/>
    <w:rsid w:val="00821662"/>
    <w:rsid w:val="0083040C"/>
    <w:rsid w:val="008319CA"/>
    <w:rsid w:val="00836C73"/>
    <w:rsid w:val="0085551D"/>
    <w:rsid w:val="0086442F"/>
    <w:rsid w:val="00867C6A"/>
    <w:rsid w:val="00871259"/>
    <w:rsid w:val="00872500"/>
    <w:rsid w:val="00872720"/>
    <w:rsid w:val="00873E30"/>
    <w:rsid w:val="0087447C"/>
    <w:rsid w:val="00874A9A"/>
    <w:rsid w:val="00877764"/>
    <w:rsid w:val="008919B2"/>
    <w:rsid w:val="008926FF"/>
    <w:rsid w:val="00895285"/>
    <w:rsid w:val="0089786F"/>
    <w:rsid w:val="008B017B"/>
    <w:rsid w:val="008B0EE9"/>
    <w:rsid w:val="008B13F5"/>
    <w:rsid w:val="008B162B"/>
    <w:rsid w:val="008C13BD"/>
    <w:rsid w:val="008D07CB"/>
    <w:rsid w:val="008D4BC1"/>
    <w:rsid w:val="008D5C01"/>
    <w:rsid w:val="008D7BE7"/>
    <w:rsid w:val="00901BA9"/>
    <w:rsid w:val="00905A3D"/>
    <w:rsid w:val="00940D38"/>
    <w:rsid w:val="00970598"/>
    <w:rsid w:val="00973735"/>
    <w:rsid w:val="00976894"/>
    <w:rsid w:val="00980983"/>
    <w:rsid w:val="00981703"/>
    <w:rsid w:val="00984B96"/>
    <w:rsid w:val="00985782"/>
    <w:rsid w:val="009863AC"/>
    <w:rsid w:val="009A140A"/>
    <w:rsid w:val="009B289D"/>
    <w:rsid w:val="009C1EF6"/>
    <w:rsid w:val="009C47C2"/>
    <w:rsid w:val="009C7C2C"/>
    <w:rsid w:val="009D2910"/>
    <w:rsid w:val="009E04DF"/>
    <w:rsid w:val="009E360E"/>
    <w:rsid w:val="009E5EE3"/>
    <w:rsid w:val="009F042A"/>
    <w:rsid w:val="00A12E98"/>
    <w:rsid w:val="00A1648C"/>
    <w:rsid w:val="00A21057"/>
    <w:rsid w:val="00A27910"/>
    <w:rsid w:val="00A33132"/>
    <w:rsid w:val="00A41F8E"/>
    <w:rsid w:val="00A44DDA"/>
    <w:rsid w:val="00A45171"/>
    <w:rsid w:val="00A46DA1"/>
    <w:rsid w:val="00A63260"/>
    <w:rsid w:val="00A64362"/>
    <w:rsid w:val="00A66D3F"/>
    <w:rsid w:val="00A671ED"/>
    <w:rsid w:val="00A83EDB"/>
    <w:rsid w:val="00A85E52"/>
    <w:rsid w:val="00AA27AC"/>
    <w:rsid w:val="00AA7D57"/>
    <w:rsid w:val="00AD22BB"/>
    <w:rsid w:val="00AE06A9"/>
    <w:rsid w:val="00AE13F1"/>
    <w:rsid w:val="00AE1401"/>
    <w:rsid w:val="00AE189D"/>
    <w:rsid w:val="00AE19AF"/>
    <w:rsid w:val="00AE1E94"/>
    <w:rsid w:val="00AE6354"/>
    <w:rsid w:val="00AE756C"/>
    <w:rsid w:val="00AF187A"/>
    <w:rsid w:val="00B0198F"/>
    <w:rsid w:val="00B144C6"/>
    <w:rsid w:val="00B3155E"/>
    <w:rsid w:val="00B359CA"/>
    <w:rsid w:val="00B3617A"/>
    <w:rsid w:val="00B450DB"/>
    <w:rsid w:val="00B638E5"/>
    <w:rsid w:val="00B64ACD"/>
    <w:rsid w:val="00B657C9"/>
    <w:rsid w:val="00B74E1F"/>
    <w:rsid w:val="00B75344"/>
    <w:rsid w:val="00B84041"/>
    <w:rsid w:val="00B85427"/>
    <w:rsid w:val="00B979A2"/>
    <w:rsid w:val="00BA32AF"/>
    <w:rsid w:val="00BC13BC"/>
    <w:rsid w:val="00BC2C60"/>
    <w:rsid w:val="00BC393B"/>
    <w:rsid w:val="00BC4F96"/>
    <w:rsid w:val="00BC662E"/>
    <w:rsid w:val="00BE6494"/>
    <w:rsid w:val="00C02926"/>
    <w:rsid w:val="00C20926"/>
    <w:rsid w:val="00C2191F"/>
    <w:rsid w:val="00C219D8"/>
    <w:rsid w:val="00C2298B"/>
    <w:rsid w:val="00C416DC"/>
    <w:rsid w:val="00C4254E"/>
    <w:rsid w:val="00C532DF"/>
    <w:rsid w:val="00C56590"/>
    <w:rsid w:val="00C57CE5"/>
    <w:rsid w:val="00C6247E"/>
    <w:rsid w:val="00C853BB"/>
    <w:rsid w:val="00C86042"/>
    <w:rsid w:val="00C86765"/>
    <w:rsid w:val="00C867B0"/>
    <w:rsid w:val="00C86FAC"/>
    <w:rsid w:val="00C87027"/>
    <w:rsid w:val="00C87E60"/>
    <w:rsid w:val="00C92CD1"/>
    <w:rsid w:val="00CA4CD6"/>
    <w:rsid w:val="00CA541E"/>
    <w:rsid w:val="00CA7023"/>
    <w:rsid w:val="00CB1E1A"/>
    <w:rsid w:val="00CB4C48"/>
    <w:rsid w:val="00CC7CDD"/>
    <w:rsid w:val="00CD7853"/>
    <w:rsid w:val="00CE0E6E"/>
    <w:rsid w:val="00CE594F"/>
    <w:rsid w:val="00CF1B62"/>
    <w:rsid w:val="00CF1C6C"/>
    <w:rsid w:val="00CF543D"/>
    <w:rsid w:val="00D100E5"/>
    <w:rsid w:val="00D16F6F"/>
    <w:rsid w:val="00D1798E"/>
    <w:rsid w:val="00D26DFF"/>
    <w:rsid w:val="00D33EE3"/>
    <w:rsid w:val="00D44900"/>
    <w:rsid w:val="00D473CF"/>
    <w:rsid w:val="00D522FB"/>
    <w:rsid w:val="00D5276A"/>
    <w:rsid w:val="00D549B2"/>
    <w:rsid w:val="00D61E32"/>
    <w:rsid w:val="00D646C5"/>
    <w:rsid w:val="00D71FA2"/>
    <w:rsid w:val="00D815CA"/>
    <w:rsid w:val="00D8340D"/>
    <w:rsid w:val="00D85541"/>
    <w:rsid w:val="00D86350"/>
    <w:rsid w:val="00D960D9"/>
    <w:rsid w:val="00DA18EA"/>
    <w:rsid w:val="00DA7D53"/>
    <w:rsid w:val="00DC13BB"/>
    <w:rsid w:val="00DC62EC"/>
    <w:rsid w:val="00DC6BDE"/>
    <w:rsid w:val="00DC7BB8"/>
    <w:rsid w:val="00DD32AC"/>
    <w:rsid w:val="00DD5A81"/>
    <w:rsid w:val="00DE2E9C"/>
    <w:rsid w:val="00E04892"/>
    <w:rsid w:val="00E07CFF"/>
    <w:rsid w:val="00E16D3B"/>
    <w:rsid w:val="00E20FBC"/>
    <w:rsid w:val="00E305C3"/>
    <w:rsid w:val="00E44B2E"/>
    <w:rsid w:val="00E51C20"/>
    <w:rsid w:val="00E66FE2"/>
    <w:rsid w:val="00E71733"/>
    <w:rsid w:val="00E909C2"/>
    <w:rsid w:val="00E95597"/>
    <w:rsid w:val="00EA019F"/>
    <w:rsid w:val="00EB4E58"/>
    <w:rsid w:val="00EB53F1"/>
    <w:rsid w:val="00EB79C5"/>
    <w:rsid w:val="00EC0ECC"/>
    <w:rsid w:val="00EC277A"/>
    <w:rsid w:val="00ED1A68"/>
    <w:rsid w:val="00ED468F"/>
    <w:rsid w:val="00ED515D"/>
    <w:rsid w:val="00ED5ED2"/>
    <w:rsid w:val="00EF4553"/>
    <w:rsid w:val="00EF5E8B"/>
    <w:rsid w:val="00EF7515"/>
    <w:rsid w:val="00F022B5"/>
    <w:rsid w:val="00F11EE8"/>
    <w:rsid w:val="00F14522"/>
    <w:rsid w:val="00F158F6"/>
    <w:rsid w:val="00F20BB3"/>
    <w:rsid w:val="00F21760"/>
    <w:rsid w:val="00F21D54"/>
    <w:rsid w:val="00F22854"/>
    <w:rsid w:val="00F24F07"/>
    <w:rsid w:val="00F304FB"/>
    <w:rsid w:val="00F35531"/>
    <w:rsid w:val="00F563D3"/>
    <w:rsid w:val="00F7406E"/>
    <w:rsid w:val="00F741FF"/>
    <w:rsid w:val="00F841CE"/>
    <w:rsid w:val="00F84553"/>
    <w:rsid w:val="00F936C3"/>
    <w:rsid w:val="00F9417C"/>
    <w:rsid w:val="00FA60DD"/>
    <w:rsid w:val="00FB1115"/>
    <w:rsid w:val="00FB5F82"/>
    <w:rsid w:val="00FB5FB5"/>
    <w:rsid w:val="00FB7D5F"/>
    <w:rsid w:val="00FC61C6"/>
    <w:rsid w:val="00FD381D"/>
    <w:rsid w:val="00FD75C0"/>
    <w:rsid w:val="00FF1354"/>
    <w:rsid w:val="0432664F"/>
    <w:rsid w:val="07D80F98"/>
    <w:rsid w:val="0DB53A2A"/>
    <w:rsid w:val="17A31B54"/>
    <w:rsid w:val="1EB22B9E"/>
    <w:rsid w:val="2098075B"/>
    <w:rsid w:val="22414A06"/>
    <w:rsid w:val="26D033D6"/>
    <w:rsid w:val="34676C84"/>
    <w:rsid w:val="36E62DB9"/>
    <w:rsid w:val="37FA247A"/>
    <w:rsid w:val="3CAC2FC7"/>
    <w:rsid w:val="44925C83"/>
    <w:rsid w:val="45F36327"/>
    <w:rsid w:val="4F072D89"/>
    <w:rsid w:val="502E2718"/>
    <w:rsid w:val="7B1A31DE"/>
    <w:rsid w:val="7DC86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573AC-F6D7-4B60-AF93-6697A3C08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SMQ</Company>
  <Pages>2</Pages>
  <Words>102</Words>
  <Characters>585</Characters>
  <Lines>4</Lines>
  <Paragraphs>1</Paragraphs>
  <TotalTime>204</TotalTime>
  <ScaleCrop>false</ScaleCrop>
  <LinksUpToDate>false</LinksUpToDate>
  <CharactersWithSpaces>686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2018-04-04T05:56:00Z</dcterms:created>
  <dc:creator>test</dc:creator>
  <cp:lastModifiedBy>mho</cp:lastModifiedBy>
  <dcterms:modified xsi:type="dcterms:W3CDTF">2019-11-27T08:34:55Z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