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40B" w:rsidRDefault="00406539">
      <w:pPr>
        <w:widowControl/>
        <w:spacing w:line="600" w:lineRule="exact"/>
        <w:rPr>
          <w:rFonts w:ascii="黑体" w:eastAsia="黑体" w:hAnsi="黑体" w:cs="Arial"/>
          <w:kern w:val="0"/>
          <w:sz w:val="32"/>
          <w:szCs w:val="32"/>
        </w:rPr>
      </w:pPr>
      <w:r>
        <w:rPr>
          <w:rFonts w:ascii="黑体" w:eastAsia="黑体" w:hAnsi="黑体" w:cs="Arial" w:hint="eastAsia"/>
          <w:kern w:val="0"/>
          <w:sz w:val="32"/>
          <w:szCs w:val="32"/>
        </w:rPr>
        <w:t>附件3</w:t>
      </w:r>
    </w:p>
    <w:p w:rsidR="0045040B" w:rsidRDefault="00406539">
      <w:pPr>
        <w:spacing w:line="560" w:lineRule="exact"/>
        <w:jc w:val="center"/>
        <w:rPr>
          <w:rFonts w:eastAsia="方正小标宋简体"/>
          <w:spacing w:val="-12"/>
          <w:sz w:val="44"/>
          <w:szCs w:val="44"/>
        </w:rPr>
      </w:pPr>
      <w:r>
        <w:rPr>
          <w:rFonts w:eastAsia="方正小标宋简体" w:hint="eastAsia"/>
          <w:spacing w:val="-12"/>
          <w:sz w:val="44"/>
          <w:szCs w:val="44"/>
        </w:rPr>
        <w:t>部分不合格项目小知识</w:t>
      </w:r>
    </w:p>
    <w:p w:rsidR="0045040B" w:rsidRDefault="0045040B">
      <w:pPr>
        <w:spacing w:line="560" w:lineRule="exact"/>
        <w:ind w:firstLineChars="200" w:firstLine="480"/>
        <w:rPr>
          <w:rFonts w:ascii="宋体" w:eastAsia="宋体" w:hAnsi="宋体" w:cs="宋体"/>
          <w:kern w:val="0"/>
          <w:sz w:val="24"/>
          <w:szCs w:val="24"/>
        </w:rPr>
      </w:pPr>
    </w:p>
    <w:p w:rsidR="0045040B" w:rsidRDefault="00406539">
      <w:pPr>
        <w:spacing w:line="560" w:lineRule="exact"/>
        <w:ind w:firstLineChars="200" w:firstLine="643"/>
        <w:rPr>
          <w:rFonts w:ascii="黑体" w:eastAsia="黑体" w:hAnsi="黑体" w:cs="仿宋_GB2312"/>
          <w:b/>
          <w:sz w:val="32"/>
          <w:szCs w:val="32"/>
        </w:rPr>
      </w:pPr>
      <w:r>
        <w:rPr>
          <w:rFonts w:ascii="黑体" w:eastAsia="黑体" w:hAnsi="黑体" w:cs="仿宋_GB2312" w:hint="eastAsia"/>
          <w:b/>
          <w:sz w:val="32"/>
          <w:szCs w:val="32"/>
        </w:rPr>
        <w:t>一、不合格项目小知识</w:t>
      </w:r>
    </w:p>
    <w:p w:rsidR="0045040B" w:rsidRPr="004A1770" w:rsidRDefault="004A1770" w:rsidP="004A1770">
      <w:pPr>
        <w:spacing w:line="560" w:lineRule="exact"/>
        <w:ind w:firstLineChars="250" w:firstLine="800"/>
        <w:rPr>
          <w:rFonts w:ascii="楷体" w:eastAsia="楷体" w:hAnsi="楷体" w:cs="仿宋_GB2312"/>
          <w:sz w:val="32"/>
          <w:szCs w:val="32"/>
        </w:rPr>
      </w:pPr>
      <w:r w:rsidRPr="004A1770">
        <w:rPr>
          <w:rFonts w:ascii="楷体" w:eastAsia="楷体" w:hAnsi="楷体" w:cs="仿宋_GB2312" w:hint="eastAsia"/>
          <w:sz w:val="32"/>
          <w:szCs w:val="32"/>
        </w:rPr>
        <w:t>（一）</w:t>
      </w:r>
      <w:r w:rsidR="00406539" w:rsidRPr="004A1770">
        <w:rPr>
          <w:rFonts w:ascii="楷体" w:eastAsia="楷体" w:hAnsi="楷体" w:cs="仿宋_GB2312" w:hint="eastAsia"/>
          <w:sz w:val="32"/>
          <w:szCs w:val="32"/>
        </w:rPr>
        <w:t>菌落总数</w:t>
      </w:r>
    </w:p>
    <w:p w:rsidR="0045040B" w:rsidRDefault="00406539">
      <w:pPr>
        <w:spacing w:line="560" w:lineRule="exact"/>
        <w:ind w:firstLineChars="200" w:firstLine="640"/>
        <w:rPr>
          <w:rFonts w:ascii="仿宋" w:eastAsia="仿宋" w:hAnsi="仿宋"/>
          <w:sz w:val="32"/>
          <w:szCs w:val="32"/>
        </w:rPr>
      </w:pPr>
      <w:r>
        <w:rPr>
          <w:rFonts w:ascii="仿宋" w:eastAsia="仿宋" w:hAnsi="仿宋" w:hint="eastAsia"/>
          <w:sz w:val="32"/>
          <w:szCs w:val="32"/>
        </w:rPr>
        <w:t>菌落总数是指示性微生物指标，并非致病菌指标，主要用来评价食品清洁度，反映食品在生产过程中是否符合卫生要求，一定程度上标志着食品卫生质量的优劣。</w:t>
      </w:r>
      <w:r>
        <w:rPr>
          <w:rFonts w:ascii="仿宋" w:eastAsia="仿宋" w:hAnsi="仿宋"/>
          <w:sz w:val="32"/>
          <w:szCs w:val="32"/>
        </w:rPr>
        <w:t>《食品安全国家标准 饮料》</w:t>
      </w:r>
      <w:r>
        <w:rPr>
          <w:rFonts w:ascii="仿宋" w:eastAsia="仿宋" w:hAnsi="仿宋" w:hint="eastAsia"/>
          <w:sz w:val="32"/>
          <w:szCs w:val="32"/>
        </w:rPr>
        <w:t>（</w:t>
      </w:r>
      <w:r>
        <w:rPr>
          <w:rFonts w:ascii="仿宋" w:eastAsia="仿宋" w:hAnsi="仿宋"/>
          <w:sz w:val="32"/>
          <w:szCs w:val="32"/>
        </w:rPr>
        <w:t>GB 7101-2015</w:t>
      </w:r>
      <w:r>
        <w:rPr>
          <w:rFonts w:ascii="仿宋" w:eastAsia="仿宋" w:hAnsi="仿宋" w:hint="eastAsia"/>
          <w:sz w:val="32"/>
          <w:szCs w:val="32"/>
        </w:rPr>
        <w:t>）中规定</w:t>
      </w:r>
      <w:r>
        <w:rPr>
          <w:rFonts w:ascii="仿宋" w:eastAsia="仿宋" w:hAnsi="仿宋"/>
          <w:sz w:val="32"/>
          <w:szCs w:val="32"/>
        </w:rPr>
        <w:t>，</w:t>
      </w:r>
      <w:r>
        <w:rPr>
          <w:rFonts w:ascii="仿宋" w:eastAsia="仿宋" w:hAnsi="仿宋" w:hint="eastAsia"/>
          <w:sz w:val="32"/>
          <w:szCs w:val="32"/>
        </w:rPr>
        <w:t>从一批产品中</w:t>
      </w:r>
      <w:r>
        <w:rPr>
          <w:rFonts w:ascii="仿宋" w:eastAsia="仿宋" w:hAnsi="仿宋"/>
          <w:sz w:val="32"/>
          <w:szCs w:val="32"/>
        </w:rPr>
        <w:t>采集</w:t>
      </w:r>
      <w:r>
        <w:rPr>
          <w:rFonts w:ascii="仿宋" w:eastAsia="仿宋" w:hAnsi="仿宋" w:hint="eastAsia"/>
          <w:sz w:val="32"/>
          <w:szCs w:val="32"/>
        </w:rPr>
        <w:t>5个样品</w:t>
      </w:r>
      <w:r>
        <w:rPr>
          <w:rFonts w:ascii="仿宋" w:eastAsia="仿宋" w:hAnsi="仿宋"/>
          <w:sz w:val="32"/>
          <w:szCs w:val="32"/>
        </w:rPr>
        <w:t>，若</w:t>
      </w:r>
      <w:r>
        <w:rPr>
          <w:rFonts w:ascii="仿宋" w:eastAsia="仿宋" w:hAnsi="仿宋" w:hint="eastAsia"/>
          <w:sz w:val="32"/>
          <w:szCs w:val="32"/>
        </w:rPr>
        <w:t>5个样品</w:t>
      </w:r>
      <w:r>
        <w:rPr>
          <w:rFonts w:ascii="仿宋" w:eastAsia="仿宋" w:hAnsi="仿宋"/>
          <w:sz w:val="32"/>
          <w:szCs w:val="32"/>
        </w:rPr>
        <w:t>的检验结果均小于或等于</w:t>
      </w:r>
      <w:r>
        <w:rPr>
          <w:rFonts w:ascii="仿宋" w:eastAsia="仿宋" w:hAnsi="仿宋" w:hint="eastAsia"/>
          <w:sz w:val="32"/>
          <w:szCs w:val="32"/>
        </w:rPr>
        <w:t>m值</w:t>
      </w:r>
      <w:r>
        <w:rPr>
          <w:rFonts w:ascii="仿宋" w:eastAsia="仿宋" w:hAnsi="仿宋"/>
          <w:sz w:val="32"/>
          <w:szCs w:val="32"/>
        </w:rPr>
        <w:t>（</w:t>
      </w:r>
      <w:r>
        <w:rPr>
          <w:rFonts w:ascii="仿宋" w:eastAsia="仿宋" w:hAnsi="仿宋" w:hint="eastAsia"/>
          <w:sz w:val="32"/>
          <w:szCs w:val="32"/>
        </w:rPr>
        <w:t>≤</w:t>
      </w:r>
      <w:r>
        <w:rPr>
          <w:rFonts w:ascii="仿宋" w:eastAsia="仿宋" w:hAnsi="仿宋"/>
          <w:color w:val="000000"/>
          <w:sz w:val="32"/>
          <w:szCs w:val="32"/>
        </w:rPr>
        <w:t>10</w:t>
      </w:r>
      <w:r>
        <w:rPr>
          <w:rFonts w:ascii="仿宋" w:eastAsia="仿宋" w:hAnsi="仿宋"/>
          <w:color w:val="000000"/>
          <w:sz w:val="32"/>
          <w:szCs w:val="32"/>
          <w:vertAlign w:val="superscript"/>
        </w:rPr>
        <w:t>3</w:t>
      </w:r>
      <w:r>
        <w:rPr>
          <w:rFonts w:ascii="仿宋" w:eastAsia="仿宋" w:hAnsi="仿宋"/>
          <w:sz w:val="32"/>
          <w:szCs w:val="32"/>
        </w:rPr>
        <w:t>CFU/g）</w:t>
      </w:r>
      <w:r>
        <w:rPr>
          <w:rFonts w:ascii="仿宋" w:eastAsia="仿宋" w:hAnsi="仿宋" w:hint="eastAsia"/>
          <w:sz w:val="32"/>
          <w:szCs w:val="32"/>
        </w:rPr>
        <w:t>，</w:t>
      </w:r>
      <w:r>
        <w:rPr>
          <w:rFonts w:ascii="仿宋" w:eastAsia="仿宋" w:hAnsi="仿宋"/>
          <w:sz w:val="32"/>
          <w:szCs w:val="32"/>
        </w:rPr>
        <w:t>则这种情况是允许的；</w:t>
      </w:r>
      <w:r>
        <w:rPr>
          <w:rFonts w:ascii="仿宋" w:eastAsia="仿宋" w:hAnsi="仿宋" w:hint="eastAsia"/>
          <w:sz w:val="32"/>
          <w:szCs w:val="32"/>
        </w:rPr>
        <w:t>若≤</w:t>
      </w:r>
      <w:r>
        <w:rPr>
          <w:rFonts w:ascii="仿宋" w:eastAsia="仿宋" w:hAnsi="仿宋"/>
          <w:sz w:val="32"/>
          <w:szCs w:val="32"/>
        </w:rPr>
        <w:t>2</w:t>
      </w:r>
      <w:r>
        <w:rPr>
          <w:rFonts w:ascii="仿宋" w:eastAsia="仿宋" w:hAnsi="仿宋" w:hint="eastAsia"/>
          <w:sz w:val="32"/>
          <w:szCs w:val="32"/>
        </w:rPr>
        <w:t>个</w:t>
      </w:r>
      <w:r>
        <w:rPr>
          <w:rFonts w:ascii="仿宋" w:eastAsia="仿宋" w:hAnsi="仿宋"/>
          <w:sz w:val="32"/>
          <w:szCs w:val="32"/>
        </w:rPr>
        <w:t>样品的结果</w:t>
      </w:r>
      <w:r>
        <w:rPr>
          <w:rFonts w:ascii="仿宋" w:eastAsia="仿宋" w:hAnsi="仿宋" w:hint="eastAsia"/>
          <w:sz w:val="32"/>
          <w:szCs w:val="32"/>
        </w:rPr>
        <w:t>（X）位于m值</w:t>
      </w:r>
      <w:r>
        <w:rPr>
          <w:rFonts w:ascii="仿宋" w:eastAsia="仿宋" w:hAnsi="仿宋"/>
          <w:sz w:val="32"/>
          <w:szCs w:val="32"/>
        </w:rPr>
        <w:t>和</w:t>
      </w:r>
      <w:r>
        <w:rPr>
          <w:rFonts w:ascii="仿宋" w:eastAsia="仿宋" w:hAnsi="仿宋" w:hint="eastAsia"/>
          <w:sz w:val="32"/>
          <w:szCs w:val="32"/>
        </w:rPr>
        <w:t>M值</w:t>
      </w:r>
      <w:r>
        <w:rPr>
          <w:rFonts w:ascii="仿宋" w:eastAsia="仿宋" w:hAnsi="仿宋"/>
          <w:sz w:val="32"/>
          <w:szCs w:val="32"/>
        </w:rPr>
        <w:t>之间（</w:t>
      </w:r>
      <w:r>
        <w:rPr>
          <w:rFonts w:ascii="仿宋" w:eastAsia="仿宋" w:hAnsi="仿宋"/>
          <w:color w:val="000000"/>
          <w:sz w:val="32"/>
          <w:szCs w:val="32"/>
        </w:rPr>
        <w:t>10</w:t>
      </w:r>
      <w:r>
        <w:rPr>
          <w:rFonts w:ascii="仿宋" w:eastAsia="仿宋" w:hAnsi="仿宋"/>
          <w:color w:val="000000"/>
          <w:sz w:val="32"/>
          <w:szCs w:val="32"/>
          <w:vertAlign w:val="superscript"/>
        </w:rPr>
        <w:t>3</w:t>
      </w:r>
      <w:r>
        <w:rPr>
          <w:rFonts w:ascii="仿宋" w:eastAsia="仿宋" w:hAnsi="仿宋" w:hint="eastAsia"/>
          <w:sz w:val="32"/>
          <w:szCs w:val="32"/>
        </w:rPr>
        <w:t>CFU/g＜X≤5×</w:t>
      </w:r>
      <w:r>
        <w:rPr>
          <w:rFonts w:ascii="仿宋" w:eastAsia="仿宋" w:hAnsi="仿宋"/>
          <w:color w:val="000000"/>
          <w:sz w:val="32"/>
          <w:szCs w:val="32"/>
        </w:rPr>
        <w:t>10</w:t>
      </w:r>
      <w:r>
        <w:rPr>
          <w:rFonts w:ascii="仿宋" w:eastAsia="仿宋" w:hAnsi="仿宋"/>
          <w:color w:val="000000"/>
          <w:sz w:val="32"/>
          <w:szCs w:val="32"/>
          <w:vertAlign w:val="superscript"/>
        </w:rPr>
        <w:t>4</w:t>
      </w:r>
      <w:r>
        <w:rPr>
          <w:rFonts w:ascii="仿宋" w:eastAsia="仿宋" w:hAnsi="仿宋" w:hint="eastAsia"/>
          <w:sz w:val="32"/>
          <w:szCs w:val="32"/>
        </w:rPr>
        <w:t>CFU/g</w:t>
      </w:r>
      <w:r>
        <w:rPr>
          <w:rFonts w:ascii="仿宋" w:eastAsia="仿宋" w:hAnsi="仿宋"/>
          <w:sz w:val="32"/>
          <w:szCs w:val="32"/>
        </w:rPr>
        <w:t>）</w:t>
      </w:r>
      <w:r>
        <w:rPr>
          <w:rFonts w:ascii="仿宋" w:eastAsia="仿宋" w:hAnsi="仿宋" w:hint="eastAsia"/>
          <w:sz w:val="32"/>
          <w:szCs w:val="32"/>
        </w:rPr>
        <w:t>,则</w:t>
      </w:r>
      <w:r>
        <w:rPr>
          <w:rFonts w:ascii="仿宋" w:eastAsia="仿宋" w:hAnsi="仿宋"/>
          <w:sz w:val="32"/>
          <w:szCs w:val="32"/>
        </w:rPr>
        <w:t>这种情况也是允许的；若有3</w:t>
      </w:r>
      <w:r>
        <w:rPr>
          <w:rFonts w:ascii="仿宋" w:eastAsia="仿宋" w:hAnsi="仿宋" w:hint="eastAsia"/>
          <w:sz w:val="32"/>
          <w:szCs w:val="32"/>
        </w:rPr>
        <w:t>个</w:t>
      </w:r>
      <w:r>
        <w:rPr>
          <w:rFonts w:ascii="仿宋" w:eastAsia="仿宋" w:hAnsi="仿宋"/>
          <w:sz w:val="32"/>
          <w:szCs w:val="32"/>
        </w:rPr>
        <w:t>及以上的样品检验</w:t>
      </w:r>
      <w:r>
        <w:rPr>
          <w:rFonts w:ascii="仿宋" w:eastAsia="仿宋" w:hAnsi="仿宋" w:hint="eastAsia"/>
          <w:sz w:val="32"/>
          <w:szCs w:val="32"/>
        </w:rPr>
        <w:t>结果</w:t>
      </w:r>
      <w:r>
        <w:rPr>
          <w:rFonts w:ascii="仿宋" w:eastAsia="仿宋" w:hAnsi="仿宋"/>
          <w:sz w:val="32"/>
          <w:szCs w:val="32"/>
        </w:rPr>
        <w:t>位于</w:t>
      </w:r>
      <w:r>
        <w:rPr>
          <w:rFonts w:ascii="仿宋" w:eastAsia="仿宋" w:hAnsi="仿宋" w:hint="eastAsia"/>
          <w:sz w:val="32"/>
          <w:szCs w:val="32"/>
        </w:rPr>
        <w:t>m值</w:t>
      </w:r>
      <w:r>
        <w:rPr>
          <w:rFonts w:ascii="仿宋" w:eastAsia="仿宋" w:hAnsi="仿宋"/>
          <w:sz w:val="32"/>
          <w:szCs w:val="32"/>
        </w:rPr>
        <w:t>和</w:t>
      </w:r>
      <w:r>
        <w:rPr>
          <w:rFonts w:ascii="仿宋" w:eastAsia="仿宋" w:hAnsi="仿宋" w:hint="eastAsia"/>
          <w:sz w:val="32"/>
          <w:szCs w:val="32"/>
        </w:rPr>
        <w:t>M值</w:t>
      </w:r>
      <w:r>
        <w:rPr>
          <w:rFonts w:ascii="仿宋" w:eastAsia="仿宋" w:hAnsi="仿宋"/>
          <w:sz w:val="32"/>
          <w:szCs w:val="32"/>
        </w:rPr>
        <w:t>之间，则这种情况</w:t>
      </w:r>
      <w:r>
        <w:rPr>
          <w:rFonts w:ascii="仿宋" w:eastAsia="仿宋" w:hAnsi="仿宋" w:hint="eastAsia"/>
          <w:sz w:val="32"/>
          <w:szCs w:val="32"/>
        </w:rPr>
        <w:t>是不允许的</w:t>
      </w:r>
      <w:r>
        <w:rPr>
          <w:rFonts w:ascii="仿宋" w:eastAsia="仿宋" w:hAnsi="仿宋"/>
          <w:sz w:val="32"/>
          <w:szCs w:val="32"/>
        </w:rPr>
        <w:t>；若有</w:t>
      </w:r>
      <w:r>
        <w:rPr>
          <w:rFonts w:ascii="仿宋" w:eastAsia="仿宋" w:hAnsi="仿宋" w:hint="eastAsia"/>
          <w:sz w:val="32"/>
          <w:szCs w:val="32"/>
        </w:rPr>
        <w:t>任</w:t>
      </w:r>
      <w:proofErr w:type="gramStart"/>
      <w:r>
        <w:rPr>
          <w:rFonts w:ascii="仿宋" w:eastAsia="仿宋" w:hAnsi="仿宋"/>
          <w:sz w:val="32"/>
          <w:szCs w:val="32"/>
        </w:rPr>
        <w:t>一</w:t>
      </w:r>
      <w:proofErr w:type="gramEnd"/>
      <w:r>
        <w:rPr>
          <w:rFonts w:ascii="仿宋" w:eastAsia="仿宋" w:hAnsi="仿宋"/>
          <w:sz w:val="32"/>
          <w:szCs w:val="32"/>
        </w:rPr>
        <w:t>样品的检验结果大于</w:t>
      </w:r>
      <w:r>
        <w:rPr>
          <w:rFonts w:ascii="仿宋" w:eastAsia="仿宋" w:hAnsi="仿宋" w:hint="eastAsia"/>
          <w:sz w:val="32"/>
          <w:szCs w:val="32"/>
        </w:rPr>
        <w:t>M值</w:t>
      </w:r>
      <w:r>
        <w:rPr>
          <w:rFonts w:ascii="仿宋" w:eastAsia="仿宋" w:hAnsi="仿宋"/>
          <w:sz w:val="32"/>
          <w:szCs w:val="32"/>
        </w:rPr>
        <w:t>（</w:t>
      </w:r>
      <w:r>
        <w:rPr>
          <w:rFonts w:ascii="仿宋" w:eastAsia="仿宋" w:hAnsi="仿宋" w:hint="eastAsia"/>
          <w:sz w:val="32"/>
          <w:szCs w:val="32"/>
        </w:rPr>
        <w:t>＞5×</w:t>
      </w:r>
      <w:r>
        <w:rPr>
          <w:rFonts w:ascii="仿宋" w:eastAsia="仿宋" w:hAnsi="仿宋"/>
          <w:color w:val="000000"/>
          <w:sz w:val="32"/>
          <w:szCs w:val="32"/>
        </w:rPr>
        <w:t>10</w:t>
      </w:r>
      <w:r>
        <w:rPr>
          <w:rFonts w:ascii="仿宋" w:eastAsia="仿宋" w:hAnsi="仿宋"/>
          <w:color w:val="000000"/>
          <w:sz w:val="32"/>
          <w:szCs w:val="32"/>
          <w:vertAlign w:val="superscript"/>
        </w:rPr>
        <w:t>4</w:t>
      </w:r>
      <w:r>
        <w:rPr>
          <w:rFonts w:ascii="仿宋" w:eastAsia="仿宋" w:hAnsi="仿宋" w:hint="eastAsia"/>
          <w:sz w:val="32"/>
          <w:szCs w:val="32"/>
        </w:rPr>
        <w:t>CFU/g</w:t>
      </w:r>
      <w:r>
        <w:rPr>
          <w:rFonts w:ascii="仿宋" w:eastAsia="仿宋" w:hAnsi="仿宋"/>
          <w:sz w:val="32"/>
          <w:szCs w:val="32"/>
        </w:rPr>
        <w:t>）</w:t>
      </w:r>
      <w:r>
        <w:rPr>
          <w:rFonts w:ascii="仿宋" w:eastAsia="仿宋" w:hAnsi="仿宋" w:hint="eastAsia"/>
          <w:sz w:val="32"/>
          <w:szCs w:val="32"/>
        </w:rPr>
        <w:t>，</w:t>
      </w:r>
      <w:r>
        <w:rPr>
          <w:rFonts w:ascii="仿宋" w:eastAsia="仿宋" w:hAnsi="仿宋"/>
          <w:sz w:val="32"/>
          <w:szCs w:val="32"/>
        </w:rPr>
        <w:t>则这种情况也是不允许的</w:t>
      </w:r>
      <w:r>
        <w:rPr>
          <w:rFonts w:ascii="仿宋" w:eastAsia="仿宋" w:hAnsi="仿宋" w:hint="eastAsia"/>
          <w:sz w:val="32"/>
          <w:szCs w:val="32"/>
        </w:rPr>
        <w:t>。如果食品的菌落总数严重超标，将会破坏食品的营养成分，加速食品的腐败变质，使食品失去食用价值，而且食用菌落总数超标的食品也可能会引起食源性疾病。</w:t>
      </w:r>
    </w:p>
    <w:p w:rsidR="0045040B" w:rsidRPr="004A1770" w:rsidRDefault="004A1770" w:rsidP="004A1770">
      <w:pPr>
        <w:spacing w:line="560" w:lineRule="exact"/>
        <w:ind w:firstLineChars="200" w:firstLine="640"/>
        <w:rPr>
          <w:rFonts w:ascii="仿宋" w:eastAsia="仿宋" w:hAnsi="仿宋" w:cs="宋体"/>
          <w:color w:val="000000"/>
          <w:kern w:val="0"/>
          <w:sz w:val="32"/>
          <w:szCs w:val="32"/>
        </w:rPr>
      </w:pPr>
      <w:r w:rsidRPr="004A1770">
        <w:rPr>
          <w:rFonts w:ascii="楷体" w:eastAsia="楷体" w:hAnsi="楷体" w:cs="仿宋_GB2312" w:hint="eastAsia"/>
          <w:sz w:val="32"/>
          <w:szCs w:val="32"/>
        </w:rPr>
        <w:t>（二）</w:t>
      </w:r>
      <w:r w:rsidR="00406539" w:rsidRPr="004A1770">
        <w:rPr>
          <w:rFonts w:ascii="楷体" w:eastAsia="楷体" w:hAnsi="楷体" w:cs="仿宋_GB2312" w:hint="eastAsia"/>
          <w:sz w:val="32"/>
          <w:szCs w:val="32"/>
        </w:rPr>
        <w:t>铅</w:t>
      </w:r>
    </w:p>
    <w:p w:rsidR="0045040B" w:rsidRDefault="00406539" w:rsidP="004A1770">
      <w:pPr>
        <w:ind w:firstLineChars="200" w:firstLine="640"/>
        <w:rPr>
          <w:rFonts w:ascii="仿宋" w:eastAsia="仿宋" w:hAnsi="仿宋"/>
          <w:sz w:val="32"/>
          <w:szCs w:val="32"/>
        </w:rPr>
      </w:pPr>
      <w:r w:rsidRPr="004A1770">
        <w:rPr>
          <w:rFonts w:ascii="仿宋" w:eastAsia="仿宋" w:hAnsi="仿宋" w:hint="eastAsia"/>
          <w:sz w:val="32"/>
          <w:szCs w:val="32"/>
        </w:rPr>
        <w:t>铅是稳定</w:t>
      </w:r>
      <w:r w:rsidRPr="000F4DC7">
        <w:rPr>
          <w:rFonts w:ascii="仿宋" w:eastAsia="仿宋" w:hAnsi="仿宋" w:hint="eastAsia"/>
          <w:sz w:val="32"/>
          <w:szCs w:val="32"/>
        </w:rPr>
        <w:t>的</w:t>
      </w:r>
      <w:r w:rsidR="00CC4759" w:rsidRPr="000F4DC7">
        <w:rPr>
          <w:rFonts w:ascii="仿宋" w:eastAsia="仿宋" w:hAnsi="仿宋" w:hint="eastAsia"/>
          <w:sz w:val="32"/>
          <w:szCs w:val="32"/>
        </w:rPr>
        <w:t>较难</w:t>
      </w:r>
      <w:bookmarkStart w:id="0" w:name="_GoBack"/>
      <w:bookmarkEnd w:id="0"/>
      <w:r w:rsidRPr="000F4DC7">
        <w:rPr>
          <w:rFonts w:ascii="仿宋" w:eastAsia="仿宋" w:hAnsi="仿宋" w:hint="eastAsia"/>
          <w:sz w:val="32"/>
          <w:szCs w:val="32"/>
        </w:rPr>
        <w:t>降解的污染</w:t>
      </w:r>
      <w:r>
        <w:rPr>
          <w:rFonts w:ascii="仿宋" w:eastAsia="仿宋" w:hAnsi="仿宋" w:hint="eastAsia"/>
          <w:sz w:val="32"/>
          <w:szCs w:val="32"/>
        </w:rPr>
        <w:t>物，是一种慢性和积累性重金属。</w:t>
      </w:r>
      <w:r>
        <w:rPr>
          <w:rFonts w:ascii="仿宋" w:eastAsia="仿宋" w:hAnsi="仿宋"/>
          <w:sz w:val="32"/>
          <w:szCs w:val="32"/>
        </w:rPr>
        <w:t>《谷物粉类制成品》（Q/JMW 0003S-2018）</w:t>
      </w:r>
      <w:r>
        <w:rPr>
          <w:rFonts w:ascii="仿宋" w:eastAsia="仿宋" w:hAnsi="仿宋" w:hint="eastAsia"/>
          <w:sz w:val="32"/>
          <w:szCs w:val="32"/>
        </w:rPr>
        <w:t>中</w:t>
      </w:r>
      <w:r>
        <w:rPr>
          <w:rFonts w:ascii="仿宋" w:eastAsia="仿宋" w:hAnsi="仿宋"/>
          <w:sz w:val="32"/>
          <w:szCs w:val="32"/>
        </w:rPr>
        <w:t>规定</w:t>
      </w:r>
      <w:r>
        <w:rPr>
          <w:rFonts w:ascii="仿宋" w:eastAsia="仿宋" w:hAnsi="仿宋" w:hint="eastAsia"/>
          <w:sz w:val="32"/>
          <w:szCs w:val="32"/>
        </w:rPr>
        <w:t>，生湿面制品中</w:t>
      </w:r>
      <w:proofErr w:type="gramStart"/>
      <w:r>
        <w:rPr>
          <w:rFonts w:ascii="仿宋" w:eastAsia="仿宋" w:hAnsi="仿宋" w:hint="eastAsia"/>
          <w:sz w:val="32"/>
          <w:szCs w:val="32"/>
        </w:rPr>
        <w:t>的</w:t>
      </w:r>
      <w:r>
        <w:rPr>
          <w:rFonts w:ascii="仿宋" w:eastAsia="仿宋" w:hAnsi="仿宋"/>
          <w:sz w:val="32"/>
          <w:szCs w:val="32"/>
        </w:rPr>
        <w:t>铅应</w:t>
      </w:r>
      <w:proofErr w:type="gramEnd"/>
      <w:r>
        <w:rPr>
          <w:rFonts w:ascii="仿宋" w:eastAsia="仿宋" w:hAnsi="仿宋" w:hint="eastAsia"/>
          <w:sz w:val="32"/>
          <w:szCs w:val="32"/>
        </w:rPr>
        <w:t>≤0.1mg/kg。人体摄入铅含量超标的食品，铅会蓄积在体内，影响神经系统、智力发育等。</w:t>
      </w:r>
    </w:p>
    <w:p w:rsidR="0045040B" w:rsidRPr="004A1770" w:rsidRDefault="004A1770" w:rsidP="004A1770">
      <w:pPr>
        <w:spacing w:line="560" w:lineRule="exact"/>
        <w:ind w:firstLineChars="200" w:firstLine="640"/>
        <w:rPr>
          <w:rFonts w:ascii="仿宋" w:eastAsia="楷体" w:hAnsi="仿宋" w:cs="宋体"/>
          <w:color w:val="000000"/>
          <w:kern w:val="0"/>
          <w:sz w:val="32"/>
          <w:szCs w:val="32"/>
        </w:rPr>
      </w:pPr>
      <w:r w:rsidRPr="004A1770">
        <w:rPr>
          <w:rFonts w:ascii="楷体" w:eastAsia="楷体" w:hAnsi="楷体" w:cs="仿宋_GB2312" w:hint="eastAsia"/>
          <w:sz w:val="32"/>
          <w:szCs w:val="32"/>
        </w:rPr>
        <w:t>（三）</w:t>
      </w:r>
      <w:r w:rsidR="00406539" w:rsidRPr="004A1770">
        <w:rPr>
          <w:rFonts w:ascii="楷体" w:eastAsia="楷体" w:hAnsi="楷体" w:cs="仿宋_GB2312" w:hint="eastAsia"/>
          <w:sz w:val="32"/>
          <w:szCs w:val="32"/>
        </w:rPr>
        <w:t>三氯杀螨</w:t>
      </w:r>
      <w:proofErr w:type="gramStart"/>
      <w:r w:rsidR="00406539" w:rsidRPr="004A1770">
        <w:rPr>
          <w:rFonts w:ascii="楷体" w:eastAsia="楷体" w:hAnsi="楷体" w:cs="仿宋_GB2312" w:hint="eastAsia"/>
          <w:sz w:val="32"/>
          <w:szCs w:val="32"/>
        </w:rPr>
        <w:t>醇</w:t>
      </w:r>
      <w:proofErr w:type="gramEnd"/>
    </w:p>
    <w:p w:rsidR="0045040B" w:rsidRDefault="00406539">
      <w:pPr>
        <w:autoSpaceDN w:val="0"/>
        <w:ind w:firstLineChars="200" w:firstLine="640"/>
        <w:rPr>
          <w:rFonts w:ascii="仿宋" w:eastAsia="仿宋" w:hAnsi="仿宋"/>
          <w:sz w:val="32"/>
          <w:szCs w:val="32"/>
        </w:rPr>
      </w:pPr>
      <w:r w:rsidRPr="000F4DC7">
        <w:rPr>
          <w:rFonts w:ascii="仿宋" w:eastAsia="仿宋" w:hAnsi="仿宋" w:hint="eastAsia"/>
          <w:sz w:val="32"/>
          <w:szCs w:val="32"/>
        </w:rPr>
        <w:lastRenderedPageBreak/>
        <w:t>三氯杀螨醇是一种有机氯杀螨剂。可防治棉花、果树、蔬菜等农作物上的螨类，因其对成螨、幼若</w:t>
      </w:r>
      <w:proofErr w:type="gramStart"/>
      <w:r w:rsidRPr="000F4DC7">
        <w:rPr>
          <w:rFonts w:ascii="仿宋" w:eastAsia="仿宋" w:hAnsi="仿宋" w:hint="eastAsia"/>
          <w:sz w:val="32"/>
          <w:szCs w:val="32"/>
        </w:rPr>
        <w:t>螨</w:t>
      </w:r>
      <w:proofErr w:type="gramEnd"/>
      <w:r w:rsidRPr="000F4DC7">
        <w:rPr>
          <w:rFonts w:ascii="仿宋" w:eastAsia="仿宋" w:hAnsi="仿宋" w:hint="eastAsia"/>
          <w:sz w:val="32"/>
          <w:szCs w:val="32"/>
        </w:rPr>
        <w:t>和卵的良好的杀除效果，也被应用于茶叶种植。</w:t>
      </w:r>
      <w:r w:rsidRPr="000F4DC7">
        <w:rPr>
          <w:rFonts w:ascii="仿宋" w:eastAsia="仿宋" w:hAnsi="仿宋"/>
          <w:sz w:val="32"/>
          <w:szCs w:val="32"/>
        </w:rPr>
        <w:t>《食品安全国家标准 食品中农药最大残留限量</w:t>
      </w:r>
      <w:r w:rsidRPr="000F4DC7">
        <w:rPr>
          <w:rFonts w:ascii="仿宋" w:eastAsia="仿宋" w:hAnsi="仿宋" w:hint="eastAsia"/>
          <w:sz w:val="32"/>
          <w:szCs w:val="32"/>
        </w:rPr>
        <w:t>》（</w:t>
      </w:r>
      <w:r w:rsidRPr="000F4DC7">
        <w:rPr>
          <w:rFonts w:ascii="仿宋" w:eastAsia="仿宋" w:hAnsi="仿宋"/>
          <w:sz w:val="32"/>
          <w:szCs w:val="32"/>
        </w:rPr>
        <w:t>GB 27</w:t>
      </w:r>
      <w:r>
        <w:rPr>
          <w:rFonts w:ascii="仿宋" w:eastAsia="仿宋" w:hAnsi="仿宋"/>
          <w:sz w:val="32"/>
          <w:szCs w:val="32"/>
        </w:rPr>
        <w:t>63-2016</w:t>
      </w:r>
      <w:r>
        <w:rPr>
          <w:rFonts w:ascii="仿宋" w:eastAsia="仿宋" w:hAnsi="仿宋" w:hint="eastAsia"/>
          <w:sz w:val="32"/>
          <w:szCs w:val="32"/>
        </w:rPr>
        <w:t>）中规定</w:t>
      </w:r>
      <w:r>
        <w:rPr>
          <w:rFonts w:ascii="仿宋" w:eastAsia="仿宋" w:hAnsi="仿宋"/>
          <w:sz w:val="32"/>
          <w:szCs w:val="32"/>
        </w:rPr>
        <w:t>，茶叶中的三氯</w:t>
      </w:r>
      <w:proofErr w:type="gramStart"/>
      <w:r>
        <w:rPr>
          <w:rFonts w:ascii="仿宋" w:eastAsia="仿宋" w:hAnsi="仿宋"/>
          <w:sz w:val="32"/>
          <w:szCs w:val="32"/>
        </w:rPr>
        <w:t>杀螨醇应</w:t>
      </w:r>
      <w:proofErr w:type="gramEnd"/>
      <w:r>
        <w:rPr>
          <w:rFonts w:ascii="仿宋" w:eastAsia="仿宋" w:hAnsi="仿宋" w:hint="eastAsia"/>
          <w:sz w:val="32"/>
          <w:szCs w:val="32"/>
        </w:rPr>
        <w:t>≤0.2mg/kg。三氯杀螨</w:t>
      </w:r>
      <w:proofErr w:type="gramStart"/>
      <w:r>
        <w:rPr>
          <w:rFonts w:ascii="仿宋" w:eastAsia="仿宋" w:hAnsi="仿宋" w:hint="eastAsia"/>
          <w:sz w:val="32"/>
          <w:szCs w:val="32"/>
        </w:rPr>
        <w:t>醇</w:t>
      </w:r>
      <w:proofErr w:type="gramEnd"/>
      <w:r>
        <w:rPr>
          <w:rFonts w:ascii="仿宋" w:eastAsia="仿宋" w:hAnsi="仿宋" w:hint="eastAsia"/>
          <w:sz w:val="32"/>
          <w:szCs w:val="32"/>
        </w:rPr>
        <w:t>不易降解，容易残留蓄积，使用三氯杀螨</w:t>
      </w:r>
      <w:proofErr w:type="gramStart"/>
      <w:r>
        <w:rPr>
          <w:rFonts w:ascii="仿宋" w:eastAsia="仿宋" w:hAnsi="仿宋" w:hint="eastAsia"/>
          <w:sz w:val="32"/>
          <w:szCs w:val="32"/>
        </w:rPr>
        <w:t>醇</w:t>
      </w:r>
      <w:proofErr w:type="gramEnd"/>
      <w:r>
        <w:rPr>
          <w:rFonts w:ascii="仿宋" w:eastAsia="仿宋" w:hAnsi="仿宋" w:hint="eastAsia"/>
          <w:sz w:val="32"/>
          <w:szCs w:val="32"/>
        </w:rPr>
        <w:t>超标的茶叶，会对</w:t>
      </w:r>
      <w:r>
        <w:rPr>
          <w:rFonts w:ascii="仿宋" w:eastAsia="仿宋" w:hAnsi="仿宋"/>
          <w:sz w:val="32"/>
          <w:szCs w:val="32"/>
        </w:rPr>
        <w:t>肝和肾功能</w:t>
      </w:r>
      <w:r>
        <w:rPr>
          <w:rFonts w:ascii="仿宋" w:eastAsia="仿宋" w:hAnsi="仿宋" w:hint="eastAsia"/>
          <w:sz w:val="32"/>
          <w:szCs w:val="32"/>
        </w:rPr>
        <w:t>产生一定的影响。</w:t>
      </w:r>
    </w:p>
    <w:p w:rsidR="0045040B" w:rsidRDefault="00406539">
      <w:pPr>
        <w:spacing w:line="560" w:lineRule="exact"/>
        <w:ind w:firstLineChars="200" w:firstLine="643"/>
        <w:jc w:val="left"/>
        <w:rPr>
          <w:rFonts w:ascii="黑体" w:eastAsia="黑体" w:hAnsi="黑体" w:cs="仿宋_GB2312"/>
          <w:b/>
          <w:sz w:val="32"/>
          <w:szCs w:val="32"/>
        </w:rPr>
      </w:pPr>
      <w:r>
        <w:rPr>
          <w:rFonts w:ascii="黑体" w:eastAsia="黑体" w:hAnsi="黑体" w:cs="仿宋_GB2312" w:hint="eastAsia"/>
          <w:b/>
          <w:sz w:val="32"/>
          <w:szCs w:val="32"/>
        </w:rPr>
        <w:t>二、建议</w:t>
      </w:r>
    </w:p>
    <w:p w:rsidR="0045040B" w:rsidRDefault="000F4DC7" w:rsidP="000F4DC7">
      <w:pPr>
        <w:pStyle w:val="a6"/>
        <w:shd w:val="clear" w:color="auto" w:fill="FFFFFF"/>
        <w:spacing w:before="0" w:beforeAutospacing="0" w:after="0" w:afterAutospacing="0" w:line="560" w:lineRule="exact"/>
        <w:ind w:firstLineChars="200" w:firstLine="640"/>
        <w:rPr>
          <w:rFonts w:ascii="楷体" w:eastAsia="楷体" w:hAnsi="楷体"/>
          <w:b/>
          <w:sz w:val="32"/>
          <w:szCs w:val="32"/>
        </w:rPr>
      </w:pPr>
      <w:r w:rsidRPr="004A1770">
        <w:rPr>
          <w:rFonts w:ascii="楷体" w:eastAsia="楷体" w:hAnsi="楷体" w:cs="仿宋_GB2312" w:hint="eastAsia"/>
          <w:sz w:val="32"/>
          <w:szCs w:val="32"/>
        </w:rPr>
        <w:t>（一）</w:t>
      </w:r>
      <w:r w:rsidR="00406539">
        <w:rPr>
          <w:rFonts w:ascii="楷体" w:eastAsia="楷体" w:hAnsi="楷体" w:hint="eastAsia"/>
          <w:b/>
          <w:sz w:val="32"/>
          <w:szCs w:val="32"/>
        </w:rPr>
        <w:t>加强原辅料的把控</w:t>
      </w:r>
    </w:p>
    <w:p w:rsidR="0045040B" w:rsidRDefault="00406539">
      <w:pPr>
        <w:ind w:firstLineChars="200" w:firstLine="640"/>
        <w:rPr>
          <w:rFonts w:ascii="仿宋" w:eastAsia="仿宋" w:hAnsi="仿宋"/>
          <w:sz w:val="32"/>
          <w:szCs w:val="32"/>
        </w:rPr>
      </w:pPr>
      <w:r>
        <w:rPr>
          <w:rFonts w:ascii="仿宋" w:eastAsia="仿宋" w:hAnsi="仿宋" w:hint="eastAsia"/>
          <w:sz w:val="32"/>
          <w:szCs w:val="32"/>
        </w:rPr>
        <w:t>食品原料的质量与卫生是食品质量安全的前提。食品生产企业应加强对所使用的原材料的质量管理，建立进货查验、索证索票和</w:t>
      </w:r>
      <w:proofErr w:type="gramStart"/>
      <w:r>
        <w:rPr>
          <w:rFonts w:ascii="仿宋" w:eastAsia="仿宋" w:hAnsi="仿宋" w:hint="eastAsia"/>
          <w:sz w:val="32"/>
          <w:szCs w:val="32"/>
        </w:rPr>
        <w:t>进货台</w:t>
      </w:r>
      <w:proofErr w:type="gramEnd"/>
      <w:r>
        <w:rPr>
          <w:rFonts w:ascii="仿宋" w:eastAsia="仿宋" w:hAnsi="仿宋" w:hint="eastAsia"/>
          <w:sz w:val="32"/>
          <w:szCs w:val="32"/>
        </w:rPr>
        <w:t>账制度，查验供货者的许可证和食品合格证明文件，不得采购腐败变质、发霉、不新鲜的食品原料。</w:t>
      </w:r>
    </w:p>
    <w:p w:rsidR="0045040B" w:rsidRDefault="000F4DC7" w:rsidP="000F4DC7">
      <w:pPr>
        <w:spacing w:line="560" w:lineRule="exact"/>
        <w:ind w:firstLineChars="200" w:firstLine="640"/>
        <w:rPr>
          <w:rFonts w:eastAsia="楷体"/>
          <w:bCs/>
        </w:rPr>
      </w:pPr>
      <w:r w:rsidRPr="004A1770">
        <w:rPr>
          <w:rFonts w:ascii="楷体" w:eastAsia="楷体" w:hAnsi="楷体" w:cs="仿宋_GB2312" w:hint="eastAsia"/>
          <w:sz w:val="32"/>
          <w:szCs w:val="32"/>
        </w:rPr>
        <w:t>（</w:t>
      </w:r>
      <w:r>
        <w:rPr>
          <w:rFonts w:ascii="楷体" w:eastAsia="楷体" w:hAnsi="楷体" w:cs="仿宋_GB2312" w:hint="eastAsia"/>
          <w:sz w:val="32"/>
          <w:szCs w:val="32"/>
        </w:rPr>
        <w:t>二</w:t>
      </w:r>
      <w:r w:rsidRPr="004A1770">
        <w:rPr>
          <w:rFonts w:ascii="楷体" w:eastAsia="楷体" w:hAnsi="楷体" w:cs="仿宋_GB2312" w:hint="eastAsia"/>
          <w:sz w:val="32"/>
          <w:szCs w:val="32"/>
        </w:rPr>
        <w:t>）</w:t>
      </w:r>
      <w:r w:rsidR="00406539">
        <w:rPr>
          <w:rFonts w:ascii="楷体" w:eastAsia="楷体" w:hAnsi="楷体" w:hint="eastAsia"/>
          <w:b/>
          <w:sz w:val="32"/>
          <w:szCs w:val="32"/>
        </w:rPr>
        <w:t>加强生产过程的质量控制</w:t>
      </w:r>
    </w:p>
    <w:p w:rsidR="0045040B" w:rsidRDefault="00406539">
      <w:pPr>
        <w:spacing w:line="560" w:lineRule="exact"/>
        <w:ind w:firstLineChars="200" w:firstLine="640"/>
        <w:rPr>
          <w:rFonts w:ascii="仿宋" w:eastAsia="仿宋" w:hAnsi="仿宋"/>
          <w:sz w:val="32"/>
          <w:szCs w:val="32"/>
        </w:rPr>
      </w:pPr>
      <w:r>
        <w:rPr>
          <w:rFonts w:ascii="仿宋" w:eastAsia="仿宋" w:hAnsi="仿宋" w:hint="eastAsia"/>
          <w:sz w:val="32"/>
          <w:szCs w:val="32"/>
        </w:rPr>
        <w:t>食品生产过程是直接影响食品质量安全的关键。生产企业应</w:t>
      </w:r>
      <w:r>
        <w:rPr>
          <w:rFonts w:eastAsia="仿宋_GB2312"/>
          <w:snapToGrid w:val="0"/>
          <w:kern w:val="0"/>
          <w:sz w:val="32"/>
          <w:szCs w:val="32"/>
        </w:rPr>
        <w:t>建立食品安全管理体系，设定关键控制点和相应的温度和时间的关键限值，严格执行食品加工过程标准工作程序，达到有效控制食品安全风险</w:t>
      </w:r>
      <w:r>
        <w:rPr>
          <w:rFonts w:eastAsia="仿宋_GB2312" w:hint="eastAsia"/>
          <w:snapToGrid w:val="0"/>
          <w:kern w:val="0"/>
          <w:sz w:val="32"/>
          <w:szCs w:val="32"/>
        </w:rPr>
        <w:t>；</w:t>
      </w:r>
      <w:r>
        <w:rPr>
          <w:rFonts w:eastAsia="仿宋_GB2312" w:hint="eastAsia"/>
          <w:sz w:val="32"/>
          <w:szCs w:val="32"/>
        </w:rPr>
        <w:t>提高操作人员的食品安全意识，加强卫生知识培训，督促员工建立良好的个人卫生习惯，避免加工过程中的人为污染；定期对厂区内</w:t>
      </w:r>
      <w:bookmarkStart w:id="1" w:name="OLE_LINK2"/>
      <w:r>
        <w:rPr>
          <w:rFonts w:eastAsia="仿宋_GB2312" w:hint="eastAsia"/>
          <w:sz w:val="32"/>
          <w:szCs w:val="32"/>
        </w:rPr>
        <w:t>环境和设施进行消毒、清洁</w:t>
      </w:r>
      <w:bookmarkEnd w:id="1"/>
      <w:r>
        <w:rPr>
          <w:rFonts w:eastAsia="仿宋_GB2312" w:hint="eastAsia"/>
          <w:sz w:val="32"/>
          <w:szCs w:val="32"/>
        </w:rPr>
        <w:t>，并对环境进行微生物监测，以减少或避免生产过程中受到微生物的污染。</w:t>
      </w:r>
    </w:p>
    <w:p w:rsidR="0045040B" w:rsidRDefault="000F4DC7" w:rsidP="000F4DC7">
      <w:pPr>
        <w:pStyle w:val="a6"/>
        <w:shd w:val="clear" w:color="auto" w:fill="FFFFFF"/>
        <w:spacing w:before="0" w:beforeAutospacing="0" w:after="0" w:afterAutospacing="0" w:line="560" w:lineRule="exact"/>
        <w:ind w:firstLineChars="200" w:firstLine="640"/>
        <w:rPr>
          <w:rFonts w:ascii="楷体" w:eastAsia="楷体" w:hAnsi="楷体"/>
          <w:b/>
          <w:sz w:val="32"/>
          <w:szCs w:val="32"/>
        </w:rPr>
      </w:pPr>
      <w:r w:rsidRPr="004A1770">
        <w:rPr>
          <w:rFonts w:ascii="楷体" w:eastAsia="楷体" w:hAnsi="楷体" w:cs="仿宋_GB2312" w:hint="eastAsia"/>
          <w:sz w:val="32"/>
          <w:szCs w:val="32"/>
        </w:rPr>
        <w:lastRenderedPageBreak/>
        <w:t>（</w:t>
      </w:r>
      <w:r>
        <w:rPr>
          <w:rFonts w:ascii="楷体" w:eastAsia="楷体" w:hAnsi="楷体" w:cs="仿宋_GB2312" w:hint="eastAsia"/>
          <w:sz w:val="32"/>
          <w:szCs w:val="32"/>
        </w:rPr>
        <w:t>三</w:t>
      </w:r>
      <w:r w:rsidRPr="004A1770">
        <w:rPr>
          <w:rFonts w:ascii="楷体" w:eastAsia="楷体" w:hAnsi="楷体" w:cs="仿宋_GB2312" w:hint="eastAsia"/>
          <w:sz w:val="32"/>
          <w:szCs w:val="32"/>
        </w:rPr>
        <w:t>）</w:t>
      </w:r>
      <w:r w:rsidR="00406539">
        <w:rPr>
          <w:rFonts w:ascii="楷体" w:eastAsia="楷体" w:hAnsi="楷体" w:hint="eastAsia"/>
          <w:b/>
          <w:sz w:val="32"/>
          <w:szCs w:val="32"/>
        </w:rPr>
        <w:t>加强</w:t>
      </w:r>
      <w:r w:rsidR="00406539">
        <w:rPr>
          <w:rFonts w:ascii="楷体" w:eastAsia="楷体" w:hAnsi="楷体"/>
          <w:b/>
          <w:sz w:val="32"/>
          <w:szCs w:val="32"/>
        </w:rPr>
        <w:t>食品出厂检验</w:t>
      </w:r>
    </w:p>
    <w:p w:rsidR="0045040B" w:rsidRDefault="00406539">
      <w:pPr>
        <w:ind w:firstLineChars="200" w:firstLine="640"/>
        <w:rPr>
          <w:rFonts w:eastAsia="仿宋_GB2312"/>
          <w:b/>
          <w:bCs/>
          <w:snapToGrid w:val="0"/>
          <w:kern w:val="0"/>
          <w:sz w:val="32"/>
          <w:szCs w:val="32"/>
        </w:rPr>
      </w:pPr>
      <w:r>
        <w:rPr>
          <w:rFonts w:eastAsia="仿宋_GB2312" w:hint="eastAsia"/>
          <w:sz w:val="32"/>
          <w:szCs w:val="32"/>
        </w:rPr>
        <w:t>食品生产企业要强化重视出厂检验的意识，制定切合自身且不断完善的出厂检验制度；建立完善的检测条件针对自身产品进行日常监管，制定出厂检验计划并严格执行，确保生产合格的产品；加强对生产的成品的检测频率，进行自检或送往具有相关资质的检测机构进行检测；建立健全产品召回机制，应对突发产品质量问题。</w:t>
      </w:r>
    </w:p>
    <w:p w:rsidR="0045040B" w:rsidRDefault="000F4DC7" w:rsidP="000F4DC7">
      <w:pPr>
        <w:ind w:firstLineChars="200" w:firstLine="640"/>
        <w:rPr>
          <w:rStyle w:val="a7"/>
          <w:rFonts w:ascii="楷体" w:eastAsia="楷体" w:hAnsi="楷体"/>
          <w:color w:val="2B2B2B"/>
          <w:sz w:val="32"/>
          <w:szCs w:val="32"/>
        </w:rPr>
      </w:pPr>
      <w:r w:rsidRPr="004A1770">
        <w:rPr>
          <w:rFonts w:ascii="楷体" w:eastAsia="楷体" w:hAnsi="楷体" w:cs="仿宋_GB2312" w:hint="eastAsia"/>
          <w:sz w:val="32"/>
          <w:szCs w:val="32"/>
        </w:rPr>
        <w:t>（</w:t>
      </w:r>
      <w:r>
        <w:rPr>
          <w:rFonts w:ascii="楷体" w:eastAsia="楷体" w:hAnsi="楷体" w:cs="仿宋_GB2312" w:hint="eastAsia"/>
          <w:sz w:val="32"/>
          <w:szCs w:val="32"/>
        </w:rPr>
        <w:t>四</w:t>
      </w:r>
      <w:r w:rsidRPr="004A1770">
        <w:rPr>
          <w:rFonts w:ascii="楷体" w:eastAsia="楷体" w:hAnsi="楷体" w:cs="仿宋_GB2312" w:hint="eastAsia"/>
          <w:sz w:val="32"/>
          <w:szCs w:val="32"/>
        </w:rPr>
        <w:t>）</w:t>
      </w:r>
      <w:r w:rsidR="00406539">
        <w:rPr>
          <w:rFonts w:ascii="楷体" w:eastAsia="楷体" w:hAnsi="楷体" w:hint="eastAsia"/>
          <w:b/>
          <w:sz w:val="32"/>
          <w:szCs w:val="32"/>
        </w:rPr>
        <w:t>加强</w:t>
      </w:r>
      <w:r w:rsidR="00406539">
        <w:rPr>
          <w:rStyle w:val="a7"/>
          <w:rFonts w:ascii="楷体" w:eastAsia="楷体" w:hAnsi="楷体" w:hint="eastAsia"/>
          <w:color w:val="2B2B2B"/>
          <w:sz w:val="32"/>
          <w:szCs w:val="32"/>
        </w:rPr>
        <w:t>食品从业人员培训</w:t>
      </w:r>
    </w:p>
    <w:p w:rsidR="0045040B" w:rsidRDefault="00406539">
      <w:pPr>
        <w:spacing w:line="560" w:lineRule="exact"/>
        <w:ind w:firstLineChars="200" w:firstLine="640"/>
        <w:rPr>
          <w:rFonts w:ascii="楷体" w:eastAsia="楷体" w:hAnsi="楷体"/>
          <w:b/>
          <w:sz w:val="32"/>
          <w:szCs w:val="32"/>
        </w:rPr>
      </w:pPr>
      <w:bookmarkStart w:id="2" w:name="OLE_LINK1"/>
      <w:r>
        <w:rPr>
          <w:rFonts w:ascii="仿宋" w:eastAsia="仿宋" w:hAnsi="仿宋" w:hint="eastAsia"/>
          <w:sz w:val="32"/>
          <w:szCs w:val="32"/>
        </w:rPr>
        <w:t>食品生产企业</w:t>
      </w:r>
      <w:r>
        <w:rPr>
          <w:rFonts w:ascii="仿宋" w:eastAsia="仿宋" w:hAnsi="仿宋"/>
          <w:sz w:val="32"/>
          <w:szCs w:val="32"/>
        </w:rPr>
        <w:t>应建立食品生产相关岗位的培训制度，</w:t>
      </w:r>
      <w:r>
        <w:rPr>
          <w:rFonts w:ascii="仿宋" w:eastAsia="仿宋" w:hAnsi="仿宋" w:hint="eastAsia"/>
          <w:sz w:val="32"/>
          <w:szCs w:val="32"/>
        </w:rPr>
        <w:t>加强日常监管及培训，</w:t>
      </w:r>
      <w:r>
        <w:rPr>
          <w:rFonts w:ascii="仿宋" w:eastAsia="仿宋" w:hAnsi="仿宋"/>
          <w:sz w:val="32"/>
          <w:szCs w:val="32"/>
        </w:rPr>
        <w:t>对食品加工人员以及相关岗位的从业人员进行相应的食品安全知识培训</w:t>
      </w:r>
      <w:r>
        <w:rPr>
          <w:rFonts w:ascii="仿宋" w:eastAsia="仿宋" w:hAnsi="仿宋" w:cs="仿宋" w:hint="eastAsia"/>
          <w:sz w:val="32"/>
          <w:szCs w:val="32"/>
        </w:rPr>
        <w:t>，</w:t>
      </w:r>
      <w:r>
        <w:rPr>
          <w:rFonts w:ascii="仿宋" w:eastAsia="仿宋" w:hAnsi="仿宋" w:cs="仿宋" w:hint="eastAsia"/>
          <w:snapToGrid w:val="0"/>
          <w:kern w:val="0"/>
          <w:sz w:val="32"/>
        </w:rPr>
        <w:t>提高从业人员的食品安全意识和维护食品安全能力</w:t>
      </w:r>
      <w:r>
        <w:rPr>
          <w:rFonts w:ascii="仿宋" w:eastAsia="仿宋" w:hAnsi="仿宋"/>
          <w:sz w:val="32"/>
          <w:szCs w:val="32"/>
        </w:rPr>
        <w:t>。</w:t>
      </w:r>
      <w:bookmarkEnd w:id="2"/>
    </w:p>
    <w:p w:rsidR="0045040B" w:rsidRDefault="0045040B">
      <w:pPr>
        <w:ind w:firstLineChars="200" w:firstLine="643"/>
        <w:rPr>
          <w:rFonts w:ascii="黑体" w:eastAsia="黑体" w:hAnsi="黑体" w:cs="仿宋_GB2312"/>
          <w:b/>
          <w:sz w:val="32"/>
          <w:szCs w:val="32"/>
        </w:rPr>
      </w:pPr>
    </w:p>
    <w:p w:rsidR="0045040B" w:rsidRDefault="0045040B">
      <w:pPr>
        <w:pStyle w:val="a6"/>
        <w:shd w:val="clear" w:color="auto" w:fill="FFFFFF"/>
        <w:spacing w:before="0" w:beforeAutospacing="0" w:after="0" w:afterAutospacing="0" w:line="560" w:lineRule="exact"/>
        <w:ind w:left="708"/>
        <w:rPr>
          <w:rFonts w:ascii="仿宋" w:eastAsia="仿宋" w:hAnsi="仿宋"/>
          <w:color w:val="2B2B2B"/>
          <w:sz w:val="32"/>
          <w:szCs w:val="32"/>
        </w:rPr>
      </w:pPr>
    </w:p>
    <w:sectPr w:rsidR="0045040B" w:rsidSect="00A0456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4B47" w:rsidRDefault="006D4B47" w:rsidP="00CC4759">
      <w:r>
        <w:separator/>
      </w:r>
    </w:p>
  </w:endnote>
  <w:endnote w:type="continuationSeparator" w:id="0">
    <w:p w:rsidR="006D4B47" w:rsidRDefault="006D4B47" w:rsidP="00CC47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4B47" w:rsidRDefault="006D4B47" w:rsidP="00CC4759">
      <w:r>
        <w:separator/>
      </w:r>
    </w:p>
  </w:footnote>
  <w:footnote w:type="continuationSeparator" w:id="0">
    <w:p w:rsidR="006D4B47" w:rsidRDefault="006D4B47" w:rsidP="00CC475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040D71"/>
    <w:rsid w:val="00004DB3"/>
    <w:rsid w:val="0001248C"/>
    <w:rsid w:val="00020EAA"/>
    <w:rsid w:val="00023D16"/>
    <w:rsid w:val="000276EE"/>
    <w:rsid w:val="00032538"/>
    <w:rsid w:val="00035BF4"/>
    <w:rsid w:val="00040D71"/>
    <w:rsid w:val="00044B2D"/>
    <w:rsid w:val="0004778C"/>
    <w:rsid w:val="000518A7"/>
    <w:rsid w:val="00071380"/>
    <w:rsid w:val="00073BFA"/>
    <w:rsid w:val="00074F6A"/>
    <w:rsid w:val="000821AB"/>
    <w:rsid w:val="00093CCB"/>
    <w:rsid w:val="000B08E7"/>
    <w:rsid w:val="000B6093"/>
    <w:rsid w:val="000C4E7D"/>
    <w:rsid w:val="000D0EA8"/>
    <w:rsid w:val="000D555F"/>
    <w:rsid w:val="000D6FFE"/>
    <w:rsid w:val="000E4F73"/>
    <w:rsid w:val="000F4DC7"/>
    <w:rsid w:val="000F5F41"/>
    <w:rsid w:val="00102A23"/>
    <w:rsid w:val="00105D8A"/>
    <w:rsid w:val="00117748"/>
    <w:rsid w:val="00117D05"/>
    <w:rsid w:val="001345A3"/>
    <w:rsid w:val="001372D9"/>
    <w:rsid w:val="0014337A"/>
    <w:rsid w:val="001451AC"/>
    <w:rsid w:val="001517B0"/>
    <w:rsid w:val="00154CAA"/>
    <w:rsid w:val="00160E55"/>
    <w:rsid w:val="001618B6"/>
    <w:rsid w:val="0017157D"/>
    <w:rsid w:val="0019148B"/>
    <w:rsid w:val="001A2AAA"/>
    <w:rsid w:val="001B4BBC"/>
    <w:rsid w:val="001D639F"/>
    <w:rsid w:val="001F221F"/>
    <w:rsid w:val="001F4A92"/>
    <w:rsid w:val="002078D8"/>
    <w:rsid w:val="00213E7B"/>
    <w:rsid w:val="00215ABE"/>
    <w:rsid w:val="002178AC"/>
    <w:rsid w:val="002200B2"/>
    <w:rsid w:val="00221DA8"/>
    <w:rsid w:val="002349E5"/>
    <w:rsid w:val="00242A69"/>
    <w:rsid w:val="00257A0D"/>
    <w:rsid w:val="0026230D"/>
    <w:rsid w:val="0026468F"/>
    <w:rsid w:val="002671C8"/>
    <w:rsid w:val="00277FEA"/>
    <w:rsid w:val="00287612"/>
    <w:rsid w:val="002940D0"/>
    <w:rsid w:val="0029681F"/>
    <w:rsid w:val="002A5ABF"/>
    <w:rsid w:val="002B5671"/>
    <w:rsid w:val="002D2260"/>
    <w:rsid w:val="002D5CDC"/>
    <w:rsid w:val="002D7D42"/>
    <w:rsid w:val="002E1A9A"/>
    <w:rsid w:val="002E7121"/>
    <w:rsid w:val="002E7A60"/>
    <w:rsid w:val="002F661B"/>
    <w:rsid w:val="002F6AF2"/>
    <w:rsid w:val="00302840"/>
    <w:rsid w:val="003119B4"/>
    <w:rsid w:val="003145EC"/>
    <w:rsid w:val="00320483"/>
    <w:rsid w:val="00332A02"/>
    <w:rsid w:val="003439FD"/>
    <w:rsid w:val="00344CD6"/>
    <w:rsid w:val="0036094B"/>
    <w:rsid w:val="0036358C"/>
    <w:rsid w:val="00365FC1"/>
    <w:rsid w:val="003A105E"/>
    <w:rsid w:val="003A7456"/>
    <w:rsid w:val="003B285F"/>
    <w:rsid w:val="003E3863"/>
    <w:rsid w:val="003E4CCE"/>
    <w:rsid w:val="003E5E06"/>
    <w:rsid w:val="003F2E05"/>
    <w:rsid w:val="003F4780"/>
    <w:rsid w:val="00404951"/>
    <w:rsid w:val="00406539"/>
    <w:rsid w:val="00407D6D"/>
    <w:rsid w:val="00423F19"/>
    <w:rsid w:val="004256C7"/>
    <w:rsid w:val="00427D54"/>
    <w:rsid w:val="004361DC"/>
    <w:rsid w:val="004432E7"/>
    <w:rsid w:val="00445FF9"/>
    <w:rsid w:val="0045040B"/>
    <w:rsid w:val="00474153"/>
    <w:rsid w:val="00485C2D"/>
    <w:rsid w:val="00487895"/>
    <w:rsid w:val="00495C32"/>
    <w:rsid w:val="004A0708"/>
    <w:rsid w:val="004A1770"/>
    <w:rsid w:val="004A4837"/>
    <w:rsid w:val="004A4877"/>
    <w:rsid w:val="004A5FBF"/>
    <w:rsid w:val="004B00FD"/>
    <w:rsid w:val="004B4C82"/>
    <w:rsid w:val="004C426F"/>
    <w:rsid w:val="004C4885"/>
    <w:rsid w:val="004D1007"/>
    <w:rsid w:val="004E4404"/>
    <w:rsid w:val="004F4B65"/>
    <w:rsid w:val="004F6ABF"/>
    <w:rsid w:val="005023CC"/>
    <w:rsid w:val="00512C0F"/>
    <w:rsid w:val="00514C4D"/>
    <w:rsid w:val="00524190"/>
    <w:rsid w:val="005263C4"/>
    <w:rsid w:val="00527A95"/>
    <w:rsid w:val="00537027"/>
    <w:rsid w:val="00544656"/>
    <w:rsid w:val="005713C7"/>
    <w:rsid w:val="0057278A"/>
    <w:rsid w:val="00574FAC"/>
    <w:rsid w:val="00575E5E"/>
    <w:rsid w:val="0058383A"/>
    <w:rsid w:val="00584DA5"/>
    <w:rsid w:val="00591E9F"/>
    <w:rsid w:val="005921CC"/>
    <w:rsid w:val="00592261"/>
    <w:rsid w:val="005975B9"/>
    <w:rsid w:val="005B6012"/>
    <w:rsid w:val="005C0AD5"/>
    <w:rsid w:val="005C4414"/>
    <w:rsid w:val="005E2AE0"/>
    <w:rsid w:val="005E69BF"/>
    <w:rsid w:val="005F3690"/>
    <w:rsid w:val="00601A31"/>
    <w:rsid w:val="00602933"/>
    <w:rsid w:val="006045FB"/>
    <w:rsid w:val="00611BC3"/>
    <w:rsid w:val="006122F4"/>
    <w:rsid w:val="00615CA4"/>
    <w:rsid w:val="00635EC0"/>
    <w:rsid w:val="0065490E"/>
    <w:rsid w:val="00676A61"/>
    <w:rsid w:val="006843EF"/>
    <w:rsid w:val="0068726E"/>
    <w:rsid w:val="00694B5D"/>
    <w:rsid w:val="006C33F5"/>
    <w:rsid w:val="006D4B47"/>
    <w:rsid w:val="006E4A25"/>
    <w:rsid w:val="006E5453"/>
    <w:rsid w:val="006E59B0"/>
    <w:rsid w:val="006E7453"/>
    <w:rsid w:val="00700196"/>
    <w:rsid w:val="00700D7B"/>
    <w:rsid w:val="00702414"/>
    <w:rsid w:val="00704ED0"/>
    <w:rsid w:val="0071410F"/>
    <w:rsid w:val="00726271"/>
    <w:rsid w:val="0073084E"/>
    <w:rsid w:val="007334B5"/>
    <w:rsid w:val="007354F0"/>
    <w:rsid w:val="007365B5"/>
    <w:rsid w:val="00737040"/>
    <w:rsid w:val="00741414"/>
    <w:rsid w:val="007449DE"/>
    <w:rsid w:val="007524FB"/>
    <w:rsid w:val="00755610"/>
    <w:rsid w:val="00757F5B"/>
    <w:rsid w:val="00761E6C"/>
    <w:rsid w:val="00762B75"/>
    <w:rsid w:val="007657E7"/>
    <w:rsid w:val="007726FB"/>
    <w:rsid w:val="00790B1D"/>
    <w:rsid w:val="00793F65"/>
    <w:rsid w:val="007A4823"/>
    <w:rsid w:val="007A4B38"/>
    <w:rsid w:val="007A4C53"/>
    <w:rsid w:val="007A76AD"/>
    <w:rsid w:val="007B2714"/>
    <w:rsid w:val="007B4E41"/>
    <w:rsid w:val="007B6B96"/>
    <w:rsid w:val="007C05DF"/>
    <w:rsid w:val="007C05E7"/>
    <w:rsid w:val="007C6B7A"/>
    <w:rsid w:val="007D07B1"/>
    <w:rsid w:val="007D0CE1"/>
    <w:rsid w:val="007D2E31"/>
    <w:rsid w:val="007D3698"/>
    <w:rsid w:val="007E7703"/>
    <w:rsid w:val="007E7EDB"/>
    <w:rsid w:val="007F2F36"/>
    <w:rsid w:val="007F407E"/>
    <w:rsid w:val="007F56B0"/>
    <w:rsid w:val="007F5CB0"/>
    <w:rsid w:val="00803608"/>
    <w:rsid w:val="00810A1F"/>
    <w:rsid w:val="008156E7"/>
    <w:rsid w:val="0081629C"/>
    <w:rsid w:val="008179CB"/>
    <w:rsid w:val="00821662"/>
    <w:rsid w:val="00824230"/>
    <w:rsid w:val="0083040C"/>
    <w:rsid w:val="008319CA"/>
    <w:rsid w:val="0085551D"/>
    <w:rsid w:val="00860960"/>
    <w:rsid w:val="0086442F"/>
    <w:rsid w:val="00867C6A"/>
    <w:rsid w:val="00871259"/>
    <w:rsid w:val="00872500"/>
    <w:rsid w:val="00872720"/>
    <w:rsid w:val="00873E30"/>
    <w:rsid w:val="0087447C"/>
    <w:rsid w:val="00874A9A"/>
    <w:rsid w:val="008919B2"/>
    <w:rsid w:val="00895285"/>
    <w:rsid w:val="0089786F"/>
    <w:rsid w:val="008B017B"/>
    <w:rsid w:val="008B0EE9"/>
    <w:rsid w:val="008B13F5"/>
    <w:rsid w:val="008B162B"/>
    <w:rsid w:val="008C13BD"/>
    <w:rsid w:val="008D07CB"/>
    <w:rsid w:val="008D4BC1"/>
    <w:rsid w:val="008D5C01"/>
    <w:rsid w:val="008D7BE7"/>
    <w:rsid w:val="008F270A"/>
    <w:rsid w:val="00901BA9"/>
    <w:rsid w:val="00905A3D"/>
    <w:rsid w:val="00907C08"/>
    <w:rsid w:val="00970567"/>
    <w:rsid w:val="00970598"/>
    <w:rsid w:val="00973735"/>
    <w:rsid w:val="00976894"/>
    <w:rsid w:val="00980983"/>
    <w:rsid w:val="0099069F"/>
    <w:rsid w:val="009A140A"/>
    <w:rsid w:val="009B289D"/>
    <w:rsid w:val="009C1EF6"/>
    <w:rsid w:val="009C47C2"/>
    <w:rsid w:val="009C7C2C"/>
    <w:rsid w:val="009D2910"/>
    <w:rsid w:val="009E04DF"/>
    <w:rsid w:val="009E360E"/>
    <w:rsid w:val="009F042A"/>
    <w:rsid w:val="00A04569"/>
    <w:rsid w:val="00A12E98"/>
    <w:rsid w:val="00A1648C"/>
    <w:rsid w:val="00A27910"/>
    <w:rsid w:val="00A415B8"/>
    <w:rsid w:val="00A41F8E"/>
    <w:rsid w:val="00A44DDA"/>
    <w:rsid w:val="00A45171"/>
    <w:rsid w:val="00A46DA1"/>
    <w:rsid w:val="00A64362"/>
    <w:rsid w:val="00A66D3F"/>
    <w:rsid w:val="00A671ED"/>
    <w:rsid w:val="00A83EDB"/>
    <w:rsid w:val="00A85E52"/>
    <w:rsid w:val="00AA27AC"/>
    <w:rsid w:val="00AA7D57"/>
    <w:rsid w:val="00AC0DA2"/>
    <w:rsid w:val="00AD22BB"/>
    <w:rsid w:val="00AE06A9"/>
    <w:rsid w:val="00AE13F1"/>
    <w:rsid w:val="00AE1401"/>
    <w:rsid w:val="00AE189D"/>
    <w:rsid w:val="00AE6354"/>
    <w:rsid w:val="00AE756C"/>
    <w:rsid w:val="00B0198F"/>
    <w:rsid w:val="00B144C6"/>
    <w:rsid w:val="00B3155E"/>
    <w:rsid w:val="00B3617A"/>
    <w:rsid w:val="00B450DB"/>
    <w:rsid w:val="00B638E5"/>
    <w:rsid w:val="00B64ACD"/>
    <w:rsid w:val="00B702AF"/>
    <w:rsid w:val="00B74E1F"/>
    <w:rsid w:val="00B75344"/>
    <w:rsid w:val="00B85427"/>
    <w:rsid w:val="00B979A2"/>
    <w:rsid w:val="00BA28CF"/>
    <w:rsid w:val="00BA32AF"/>
    <w:rsid w:val="00BC13BC"/>
    <w:rsid w:val="00BC393B"/>
    <w:rsid w:val="00BC4F96"/>
    <w:rsid w:val="00BC662E"/>
    <w:rsid w:val="00BD5930"/>
    <w:rsid w:val="00BD6DDD"/>
    <w:rsid w:val="00BE6494"/>
    <w:rsid w:val="00C02926"/>
    <w:rsid w:val="00C20926"/>
    <w:rsid w:val="00C34F86"/>
    <w:rsid w:val="00C416DC"/>
    <w:rsid w:val="00C532DF"/>
    <w:rsid w:val="00C5507E"/>
    <w:rsid w:val="00C56590"/>
    <w:rsid w:val="00C6247E"/>
    <w:rsid w:val="00C853BB"/>
    <w:rsid w:val="00C86042"/>
    <w:rsid w:val="00C867B0"/>
    <w:rsid w:val="00C86FAC"/>
    <w:rsid w:val="00C87027"/>
    <w:rsid w:val="00C87E60"/>
    <w:rsid w:val="00C92CD1"/>
    <w:rsid w:val="00CA2BBF"/>
    <w:rsid w:val="00CA4CD6"/>
    <w:rsid w:val="00CA541E"/>
    <w:rsid w:val="00CA7023"/>
    <w:rsid w:val="00CB1E1A"/>
    <w:rsid w:val="00CB4C48"/>
    <w:rsid w:val="00CC4759"/>
    <w:rsid w:val="00CC7CDD"/>
    <w:rsid w:val="00CD7853"/>
    <w:rsid w:val="00CE0E6E"/>
    <w:rsid w:val="00CF1B62"/>
    <w:rsid w:val="00CF1C6C"/>
    <w:rsid w:val="00CF543D"/>
    <w:rsid w:val="00D16F6F"/>
    <w:rsid w:val="00D1798E"/>
    <w:rsid w:val="00D26DFF"/>
    <w:rsid w:val="00D33EE3"/>
    <w:rsid w:val="00D44900"/>
    <w:rsid w:val="00D473CF"/>
    <w:rsid w:val="00D522FB"/>
    <w:rsid w:val="00D549B2"/>
    <w:rsid w:val="00D61E32"/>
    <w:rsid w:val="00D646C5"/>
    <w:rsid w:val="00D71FA2"/>
    <w:rsid w:val="00D815CA"/>
    <w:rsid w:val="00D82695"/>
    <w:rsid w:val="00D8340D"/>
    <w:rsid w:val="00D85541"/>
    <w:rsid w:val="00D86350"/>
    <w:rsid w:val="00D960D9"/>
    <w:rsid w:val="00DA3BC4"/>
    <w:rsid w:val="00DC13BB"/>
    <w:rsid w:val="00DC3A59"/>
    <w:rsid w:val="00DC62EC"/>
    <w:rsid w:val="00DC6BDE"/>
    <w:rsid w:val="00DC7BB8"/>
    <w:rsid w:val="00DD32AC"/>
    <w:rsid w:val="00DD5A81"/>
    <w:rsid w:val="00DD685E"/>
    <w:rsid w:val="00DE2E9C"/>
    <w:rsid w:val="00E02ACD"/>
    <w:rsid w:val="00E0355C"/>
    <w:rsid w:val="00E07CFF"/>
    <w:rsid w:val="00E16D3B"/>
    <w:rsid w:val="00E20FBC"/>
    <w:rsid w:val="00E21FE5"/>
    <w:rsid w:val="00E305C3"/>
    <w:rsid w:val="00E419F7"/>
    <w:rsid w:val="00E44B2E"/>
    <w:rsid w:val="00E66FE2"/>
    <w:rsid w:val="00E70478"/>
    <w:rsid w:val="00E71733"/>
    <w:rsid w:val="00E73CF0"/>
    <w:rsid w:val="00E909C2"/>
    <w:rsid w:val="00E95597"/>
    <w:rsid w:val="00EA019F"/>
    <w:rsid w:val="00EB4E58"/>
    <w:rsid w:val="00EB79C5"/>
    <w:rsid w:val="00EC0ECC"/>
    <w:rsid w:val="00EC277A"/>
    <w:rsid w:val="00ED1A68"/>
    <w:rsid w:val="00ED468F"/>
    <w:rsid w:val="00ED515D"/>
    <w:rsid w:val="00EF4553"/>
    <w:rsid w:val="00EF5E8B"/>
    <w:rsid w:val="00F022B5"/>
    <w:rsid w:val="00F14522"/>
    <w:rsid w:val="00F158F6"/>
    <w:rsid w:val="00F20BB3"/>
    <w:rsid w:val="00F21760"/>
    <w:rsid w:val="00F21D54"/>
    <w:rsid w:val="00F22854"/>
    <w:rsid w:val="00F24F07"/>
    <w:rsid w:val="00F35531"/>
    <w:rsid w:val="00F7406E"/>
    <w:rsid w:val="00F741FF"/>
    <w:rsid w:val="00F841CE"/>
    <w:rsid w:val="00F84553"/>
    <w:rsid w:val="00F936C3"/>
    <w:rsid w:val="00F9417C"/>
    <w:rsid w:val="00FA60DD"/>
    <w:rsid w:val="00FB1115"/>
    <w:rsid w:val="00FB5F82"/>
    <w:rsid w:val="00FB5FB5"/>
    <w:rsid w:val="00FB7D5F"/>
    <w:rsid w:val="00FC61C6"/>
    <w:rsid w:val="00FD381D"/>
    <w:rsid w:val="07D80F98"/>
    <w:rsid w:val="0E645C1C"/>
    <w:rsid w:val="17A31B54"/>
    <w:rsid w:val="1EB22B9E"/>
    <w:rsid w:val="2098075B"/>
    <w:rsid w:val="34676C84"/>
    <w:rsid w:val="36E62DB9"/>
    <w:rsid w:val="3CAC2FC7"/>
    <w:rsid w:val="527C1597"/>
    <w:rsid w:val="5F955D25"/>
    <w:rsid w:val="7B1A31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56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A04569"/>
    <w:rPr>
      <w:sz w:val="18"/>
      <w:szCs w:val="18"/>
    </w:rPr>
  </w:style>
  <w:style w:type="paragraph" w:styleId="a4">
    <w:name w:val="footer"/>
    <w:basedOn w:val="a"/>
    <w:link w:val="Char0"/>
    <w:uiPriority w:val="99"/>
    <w:unhideWhenUsed/>
    <w:qFormat/>
    <w:rsid w:val="00A04569"/>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A04569"/>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A04569"/>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A04569"/>
    <w:rPr>
      <w:b/>
      <w:bCs/>
    </w:rPr>
  </w:style>
  <w:style w:type="character" w:styleId="a8">
    <w:name w:val="Emphasis"/>
    <w:basedOn w:val="a0"/>
    <w:uiPriority w:val="20"/>
    <w:qFormat/>
    <w:rsid w:val="00A04569"/>
    <w:rPr>
      <w:i/>
      <w:iCs/>
    </w:rPr>
  </w:style>
  <w:style w:type="character" w:customStyle="1" w:styleId="Char1">
    <w:name w:val="页眉 Char"/>
    <w:basedOn w:val="a0"/>
    <w:link w:val="a5"/>
    <w:uiPriority w:val="99"/>
    <w:qFormat/>
    <w:rsid w:val="00A04569"/>
    <w:rPr>
      <w:sz w:val="18"/>
      <w:szCs w:val="18"/>
    </w:rPr>
  </w:style>
  <w:style w:type="character" w:customStyle="1" w:styleId="Char0">
    <w:name w:val="页脚 Char"/>
    <w:basedOn w:val="a0"/>
    <w:link w:val="a4"/>
    <w:uiPriority w:val="99"/>
    <w:qFormat/>
    <w:rsid w:val="00A04569"/>
    <w:rPr>
      <w:sz w:val="18"/>
      <w:szCs w:val="18"/>
    </w:rPr>
  </w:style>
  <w:style w:type="paragraph" w:styleId="a9">
    <w:name w:val="List Paragraph"/>
    <w:basedOn w:val="a"/>
    <w:uiPriority w:val="34"/>
    <w:qFormat/>
    <w:rsid w:val="00A04569"/>
    <w:pPr>
      <w:ind w:firstLineChars="200" w:firstLine="420"/>
    </w:pPr>
  </w:style>
  <w:style w:type="character" w:customStyle="1" w:styleId="Char">
    <w:name w:val="批注框文本 Char"/>
    <w:basedOn w:val="a0"/>
    <w:link w:val="a3"/>
    <w:uiPriority w:val="99"/>
    <w:semiHidden/>
    <w:qFormat/>
    <w:rsid w:val="00A04569"/>
    <w:rPr>
      <w:sz w:val="18"/>
      <w:szCs w:val="18"/>
    </w:rPr>
  </w:style>
  <w:style w:type="paragraph" w:customStyle="1" w:styleId="Default">
    <w:name w:val="Default"/>
    <w:uiPriority w:val="99"/>
    <w:qFormat/>
    <w:rsid w:val="00A04569"/>
    <w:pPr>
      <w:widowControl w:val="0"/>
      <w:autoSpaceDE w:val="0"/>
      <w:autoSpaceDN w:val="0"/>
      <w:adjustRightInd w:val="0"/>
    </w:pPr>
    <w:rPr>
      <w:rFonts w:ascii="黑体" w:eastAsia="黑体" w:cs="黑体"/>
      <w:color w:val="000000"/>
      <w:sz w:val="24"/>
      <w:szCs w:val="24"/>
    </w:rPr>
  </w:style>
  <w:style w:type="paragraph" w:customStyle="1" w:styleId="2">
    <w:name w:val="列出段落2"/>
    <w:basedOn w:val="a"/>
    <w:uiPriority w:val="34"/>
    <w:qFormat/>
    <w:rsid w:val="00A04569"/>
    <w:pPr>
      <w:ind w:firstLineChars="200" w:firstLine="420"/>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B20102-D3A3-447B-90B7-782AFF799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191</Words>
  <Characters>1090</Characters>
  <Application>Microsoft Office Word</Application>
  <DocSecurity>0</DocSecurity>
  <Lines>9</Lines>
  <Paragraphs>2</Paragraphs>
  <ScaleCrop>false</ScaleCrop>
  <Company>SMQ</Company>
  <LinksUpToDate>false</LinksUpToDate>
  <CharactersWithSpaces>1279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李俊妮</cp:lastModifiedBy>
  <cp:revision>22</cp:revision>
  <dcterms:created xsi:type="dcterms:W3CDTF">2019-04-24T13:01:00Z</dcterms:created>
  <dcterms:modified xsi:type="dcterms:W3CDTF">2019-09-05T08:41:00Z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