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附表7</w:t>
      </w:r>
    </w:p>
    <w:p>
      <w:pPr>
        <w:spacing w:after="156" w:afterLines="50" w:line="0" w:lineRule="atLeast"/>
        <w:jc w:val="center"/>
        <w:rPr>
          <w:rFonts w:hint="eastAsia" w:ascii="宋体" w:hAnsi="宋体"/>
          <w:sz w:val="36"/>
          <w:szCs w:val="36"/>
        </w:rPr>
      </w:pPr>
      <w:bookmarkStart w:id="0" w:name="_GoBack"/>
      <w:r>
        <w:rPr>
          <w:rFonts w:hint="eastAsia" w:ascii="宋体" w:hAnsi="宋体"/>
          <w:sz w:val="36"/>
          <w:szCs w:val="36"/>
        </w:rPr>
        <w:t>地下空间修正系数表</w:t>
      </w:r>
    </w:p>
    <w:bookmarkEnd w:id="0"/>
    <w:tbl>
      <w:tblPr>
        <w:tblStyle w:val="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73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6" w:type="dxa"/>
            <w:noWrap w:val="0"/>
            <w:vAlign w:val="center"/>
          </w:tcPr>
          <w:p>
            <w:pPr>
              <w:spacing w:line="260" w:lineRule="exact"/>
              <w:jc w:val="center"/>
              <w:rPr>
                <w:rFonts w:hint="eastAsia" w:ascii="黑体" w:hAnsi="宋体" w:eastAsia="黑体" w:cs="仿宋_GB2312"/>
                <w:bCs/>
                <w:szCs w:val="21"/>
              </w:rPr>
            </w:pPr>
            <w:r>
              <w:rPr>
                <w:rFonts w:hint="eastAsia" w:ascii="黑体" w:hAnsi="宋体" w:eastAsia="黑体" w:cs="仿宋_GB2312"/>
                <w:szCs w:val="21"/>
              </w:rPr>
              <w:t>序号</w:t>
            </w:r>
          </w:p>
        </w:tc>
        <w:tc>
          <w:tcPr>
            <w:tcW w:w="7200" w:type="dxa"/>
            <w:noWrap w:val="0"/>
            <w:vAlign w:val="center"/>
          </w:tcPr>
          <w:p>
            <w:pPr>
              <w:spacing w:line="260" w:lineRule="exact"/>
              <w:jc w:val="center"/>
              <w:rPr>
                <w:rFonts w:hint="eastAsia" w:ascii="黑体" w:hAnsi="宋体" w:eastAsia="黑体" w:cs="仿宋_GB2312"/>
                <w:bCs/>
                <w:szCs w:val="21"/>
              </w:rPr>
            </w:pPr>
            <w:r>
              <w:rPr>
                <w:rFonts w:hint="eastAsia" w:ascii="黑体" w:hAnsi="宋体" w:eastAsia="黑体" w:cs="仿宋_GB2312"/>
                <w:szCs w:val="21"/>
              </w:rPr>
              <w:t>分类</w:t>
            </w:r>
          </w:p>
        </w:tc>
        <w:tc>
          <w:tcPr>
            <w:tcW w:w="1109" w:type="dxa"/>
            <w:noWrap w:val="0"/>
            <w:vAlign w:val="center"/>
          </w:tcPr>
          <w:p>
            <w:pPr>
              <w:spacing w:line="260" w:lineRule="exact"/>
              <w:jc w:val="center"/>
              <w:rPr>
                <w:rFonts w:hint="eastAsia" w:ascii="黑体" w:hAnsi="宋体" w:eastAsia="黑体" w:cs="仿宋_GB2312"/>
                <w:bCs/>
                <w:szCs w:val="21"/>
              </w:rPr>
            </w:pPr>
            <w:r>
              <w:rPr>
                <w:rFonts w:hint="eastAsia" w:ascii="黑体" w:hAnsi="宋体" w:eastAsia="黑体" w:cs="仿宋_GB2312"/>
                <w:szCs w:val="21"/>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6" w:type="dxa"/>
            <w:noWrap w:val="0"/>
            <w:vAlign w:val="center"/>
          </w:tcPr>
          <w:p>
            <w:pPr>
              <w:spacing w:line="260" w:lineRule="exact"/>
              <w:jc w:val="center"/>
              <w:rPr>
                <w:rFonts w:hint="eastAsia" w:ascii="宋体" w:hAnsi="宋体" w:cs="仿宋_GB2312"/>
                <w:bCs/>
                <w:szCs w:val="21"/>
              </w:rPr>
            </w:pPr>
            <w:r>
              <w:rPr>
                <w:rFonts w:hint="eastAsia" w:ascii="宋体" w:hAnsi="宋体" w:cs="仿宋_GB2312"/>
                <w:szCs w:val="21"/>
              </w:rPr>
              <w:t>1</w:t>
            </w:r>
          </w:p>
        </w:tc>
        <w:tc>
          <w:tcPr>
            <w:tcW w:w="7200" w:type="dxa"/>
            <w:noWrap w:val="0"/>
            <w:vAlign w:val="center"/>
          </w:tcPr>
          <w:p>
            <w:pPr>
              <w:spacing w:line="260" w:lineRule="exact"/>
              <w:rPr>
                <w:rFonts w:hint="eastAsia" w:ascii="宋体" w:hAnsi="宋体" w:cs="仿宋_GB2312"/>
                <w:szCs w:val="21"/>
              </w:rPr>
            </w:pPr>
            <w:r>
              <w:rPr>
                <w:rFonts w:hint="eastAsia" w:ascii="宋体" w:hAnsi="宋体" w:cs="仿宋_GB2312"/>
                <w:szCs w:val="21"/>
              </w:rPr>
              <w:t>交通设施</w:t>
            </w:r>
            <w:r>
              <w:rPr>
                <w:rFonts w:hint="eastAsia" w:ascii="楷体_GB2312" w:hAnsi="宋体" w:eastAsia="楷体_GB2312" w:cs="仿宋_GB2312"/>
                <w:bCs/>
                <w:szCs w:val="21"/>
              </w:rPr>
              <w:t>〔</w:t>
            </w:r>
            <w:r>
              <w:rPr>
                <w:rFonts w:hint="eastAsia" w:ascii="宋体" w:hAnsi="宋体" w:cs="仿宋_GB2312"/>
                <w:szCs w:val="21"/>
              </w:rPr>
              <w:t>不含加油站、加气站、训考场、社会停车场（库）</w:t>
            </w:r>
            <w:r>
              <w:rPr>
                <w:rFonts w:hint="eastAsia" w:ascii="楷体_GB2312" w:hAnsi="宋体" w:eastAsia="楷体_GB2312" w:cs="仿宋_GB2312"/>
                <w:bCs/>
                <w:szCs w:val="21"/>
              </w:rPr>
              <w:t>〕</w:t>
            </w:r>
            <w:r>
              <w:rPr>
                <w:rFonts w:hint="eastAsia" w:ascii="宋体" w:hAnsi="宋体" w:cs="仿宋_GB2312"/>
                <w:szCs w:val="21"/>
              </w:rPr>
              <w:t>，综合管廊</w:t>
            </w:r>
          </w:p>
        </w:tc>
        <w:tc>
          <w:tcPr>
            <w:tcW w:w="1109" w:type="dxa"/>
            <w:noWrap w:val="0"/>
            <w:vAlign w:val="center"/>
          </w:tcPr>
          <w:p>
            <w:pPr>
              <w:spacing w:line="260" w:lineRule="exact"/>
              <w:jc w:val="center"/>
              <w:rPr>
                <w:rFonts w:hint="eastAsia" w:ascii="宋体" w:hAnsi="宋体" w:cs="仿宋_GB2312"/>
                <w:bCs/>
                <w:szCs w:val="21"/>
              </w:rPr>
            </w:pPr>
            <w:r>
              <w:rPr>
                <w:rFonts w:hint="eastAsia" w:ascii="宋体" w:hAnsi="宋体" w:cs="仿宋_GB2312"/>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6" w:type="dxa"/>
            <w:noWrap w:val="0"/>
            <w:vAlign w:val="center"/>
          </w:tcPr>
          <w:p>
            <w:pPr>
              <w:spacing w:line="260" w:lineRule="exact"/>
              <w:jc w:val="center"/>
              <w:rPr>
                <w:rFonts w:hint="eastAsia" w:ascii="宋体" w:hAnsi="宋体" w:cs="仿宋_GB2312"/>
                <w:bCs/>
                <w:szCs w:val="21"/>
              </w:rPr>
            </w:pPr>
            <w:r>
              <w:rPr>
                <w:rFonts w:hint="eastAsia" w:ascii="宋体" w:hAnsi="宋体" w:cs="仿宋_GB2312"/>
                <w:szCs w:val="21"/>
              </w:rPr>
              <w:t>2</w:t>
            </w:r>
          </w:p>
        </w:tc>
        <w:tc>
          <w:tcPr>
            <w:tcW w:w="7200" w:type="dxa"/>
            <w:noWrap w:val="0"/>
            <w:vAlign w:val="center"/>
          </w:tcPr>
          <w:p>
            <w:pPr>
              <w:spacing w:line="260" w:lineRule="exact"/>
              <w:rPr>
                <w:rFonts w:hint="eastAsia" w:ascii="宋体" w:hAnsi="宋体" w:cs="仿宋_GB2312"/>
                <w:bCs/>
                <w:szCs w:val="21"/>
              </w:rPr>
            </w:pPr>
            <w:r>
              <w:rPr>
                <w:rFonts w:hint="eastAsia" w:ascii="宋体" w:hAnsi="宋体" w:cs="仿宋_GB2312"/>
                <w:szCs w:val="21"/>
              </w:rPr>
              <w:t>除上述类别以外的其他地下空间</w:t>
            </w:r>
          </w:p>
        </w:tc>
        <w:tc>
          <w:tcPr>
            <w:tcW w:w="1109" w:type="dxa"/>
            <w:noWrap w:val="0"/>
            <w:vAlign w:val="center"/>
          </w:tcPr>
          <w:p>
            <w:pPr>
              <w:spacing w:line="260" w:lineRule="exact"/>
              <w:jc w:val="center"/>
              <w:rPr>
                <w:rFonts w:hint="eastAsia" w:ascii="宋体" w:hAnsi="宋体" w:cs="仿宋_GB2312"/>
                <w:bCs/>
                <w:szCs w:val="21"/>
              </w:rPr>
            </w:pPr>
            <w:r>
              <w:rPr>
                <w:rFonts w:hint="eastAsia" w:ascii="宋体" w:hAnsi="宋体" w:cs="仿宋_GB2312"/>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5" w:type="dxa"/>
            <w:gridSpan w:val="3"/>
            <w:noWrap w:val="0"/>
            <w:vAlign w:val="center"/>
          </w:tcPr>
          <w:p>
            <w:pPr>
              <w:spacing w:line="280" w:lineRule="exact"/>
              <w:ind w:left="-63" w:leftChars="-30" w:right="-63" w:rightChars="-30" w:firstLine="420" w:firstLineChars="200"/>
              <w:rPr>
                <w:rFonts w:hint="eastAsia" w:ascii="楷体_GB2312" w:hAnsi="宋体" w:eastAsia="楷体_GB2312" w:cs="仿宋_GB2312"/>
                <w:bCs/>
                <w:szCs w:val="21"/>
              </w:rPr>
            </w:pPr>
            <w:r>
              <w:rPr>
                <w:rFonts w:hint="eastAsia" w:ascii="楷体_GB2312" w:hAnsi="宋体" w:eastAsia="楷体_GB2312" w:cs="仿宋_GB2312"/>
                <w:bCs/>
                <w:szCs w:val="21"/>
              </w:rPr>
              <w:t>备注：地下商业空间按照地上首层商业对应的土地市场价格标准以本表修正系数予以修正。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2422"/>
    <w:rsid w:val="25BC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2019-11-12T07:37:00Z</dcterms:created>
  <dc:creator>-Jus</dc:creator>
  <cp:lastModifiedBy>-Jus</cp:lastModifiedBy>
  <dcterms:modified xsi:type="dcterms:W3CDTF">2019-11-12T07:37:57Z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