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附表3</w:t>
      </w:r>
    </w:p>
    <w:p>
      <w:pPr>
        <w:spacing w:after="156" w:afterLines="50"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产权条件修正系数表</w:t>
      </w:r>
    </w:p>
    <w:bookmarkEnd w:id="0"/>
    <w:tbl>
      <w:tblPr>
        <w:tblStyle w:val="4"/>
        <w:tblW w:w="49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85"/>
        <w:gridCol w:w="530"/>
        <w:gridCol w:w="5132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建筑类型</w:t>
            </w:r>
          </w:p>
        </w:tc>
        <w:tc>
          <w:tcPr>
            <w:tcW w:w="605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产权条件情形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修正系数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表1中的建筑类型1-3</w:t>
            </w:r>
          </w:p>
        </w:tc>
        <w:tc>
          <w:tcPr>
            <w:tcW w:w="605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不得转让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6056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限整体转让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6056" w:type="dxa"/>
            <w:gridSpan w:val="2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允许分割转让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表1中的建筑类型4</w:t>
            </w:r>
          </w:p>
        </w:tc>
        <w:tc>
          <w:tcPr>
            <w:tcW w:w="6056" w:type="dxa"/>
            <w:gridSpan w:val="2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不得转让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见备注1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6056" w:type="dxa"/>
            <w:gridSpan w:val="2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限整体转让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6056" w:type="dxa"/>
            <w:gridSpan w:val="2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允许分割转让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3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表1中的建筑类型5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不得</w:t>
            </w:r>
          </w:p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转让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公共租赁住房、安居型商品房、人才住房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5336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其他（除公共租赁住房、安居型商品房、人才住房外）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限整体转让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允许分割转让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4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表1中的建筑类型6-12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不得转让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限整体转让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允许分割转让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5" w:type="dxa"/>
            <w:gridSpan w:val="5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  <w:t>备注：1．附表1中建筑类型4产权修正按照相应产权条件下的厂房及办公建筑类型分别修正。</w:t>
            </w:r>
          </w:p>
          <w:p>
            <w:pPr>
              <w:spacing w:line="280" w:lineRule="exact"/>
              <w:ind w:left="-63" w:leftChars="-30" w:right="-63" w:rightChars="-30" w:firstLine="630" w:firstLineChars="300"/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  <w:t>2．产权条件情形依据土地使用权出让方案或供应合同确定。</w:t>
            </w:r>
          </w:p>
          <w:p>
            <w:pPr>
              <w:spacing w:line="280" w:lineRule="exact"/>
              <w:ind w:left="-63" w:leftChars="-30" w:right="-63" w:rightChars="-30" w:firstLine="630" w:firstLineChars="300"/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  <w:t>3．已签订的供应合同中约定或不动产登记记载为“不得转让”“自用”或“非商品性质”房地产，属于“不得转让”情形；已签订的供应合同中约定或不动产登记记载为“商品性质房地产限整体转让”的，属于“限整体转让”情形。</w:t>
            </w:r>
          </w:p>
          <w:p>
            <w:pPr>
              <w:spacing w:line="280" w:lineRule="exact"/>
              <w:ind w:left="-63" w:leftChars="-30" w:right="-63" w:rightChars="-30" w:firstLine="630" w:firstLineChars="300"/>
              <w:rPr>
                <w:rFonts w:hint="eastAsia" w:ascii="楷体_GB2312" w:hAnsi="宋体" w:eastAsia="楷体_GB2312" w:cs="仿宋_GB2312"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  <w:t>4．本表不适用于新供应留用土地情形。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708DD"/>
    <w:rsid w:val="5F2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无格式表格 21"/>
    <w:qFormat/>
    <w:uiPriority w:val="0"/>
    <w:rPr>
      <w:rFonts w:ascii="Calibri" w:hAnsi="Calibri"/>
    </w:rPr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E7E7E" w:sz="4" w:space="0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2019-11-12T07:35:00Z</dcterms:created>
  <dc:creator>-Jus</dc:creator>
  <cp:lastModifiedBy>-Jus</cp:lastModifiedBy>
  <dcterms:modified xsi:type="dcterms:W3CDTF">2019-11-12T07:36:12Z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