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color w:val="000000"/>
          <w:szCs w:val="21"/>
        </w:rPr>
      </w:pPr>
    </w:p>
    <w:p>
      <w:pPr>
        <w:snapToGrid w:val="0"/>
        <w:ind w:right="-315" w:rightChars="-150" w:firstLine="420" w:firstLineChars="200"/>
        <w:rPr>
          <w:rFonts w:hint="eastAsia"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pPr>
        <w:snapToGrid w:val="0"/>
        <w:ind w:right="-315" w:rightChars="-150"/>
        <w:rPr>
          <w:rFonts w:ascii="宋体" w:hAnsi="宋体"/>
          <w:szCs w:val="21"/>
        </w:rPr>
      </w:pPr>
      <w:r>
        <w:rPr>
          <w:rFonts w:hint="eastAsia" w:ascii="宋体" w:hAnsi="宋体"/>
          <w:szCs w:val="21"/>
        </w:rPr>
        <w:t>价格分计算方法可分为两种：</w:t>
      </w:r>
    </w:p>
    <w:p>
      <w:pPr>
        <w:snapToGrid w:val="0"/>
        <w:ind w:right="-315" w:rightChars="-150" w:firstLine="420" w:firstLineChars="200"/>
        <w:rPr>
          <w:rFonts w:hint="eastAsia" w:ascii="宋体" w:hAnsi="宋体"/>
          <w:szCs w:val="21"/>
        </w:rPr>
      </w:pPr>
      <w:r>
        <w:rPr>
          <w:rFonts w:hint="eastAsia" w:ascii="宋体" w:hAnsi="宋体"/>
          <w:szCs w:val="21"/>
        </w:rPr>
        <w:t>方法一：价格分=[1-（投标报价-最低价）/最低价]×价格权重×100;当价格分＜0时，取0。</w:t>
      </w:r>
    </w:p>
    <w:p>
      <w:pPr>
        <w:spacing w:line="360" w:lineRule="exact"/>
        <w:ind w:firstLine="420" w:firstLineChars="200"/>
        <w:rPr>
          <w:rFonts w:hint="eastAsia"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hint="eastAsia" w:ascii="宋体" w:hAnsi="宋体"/>
          <w:color w:val="FF0000"/>
          <w:szCs w:val="21"/>
        </w:rPr>
        <w:t>5%</w:t>
      </w:r>
      <w:r>
        <w:rPr>
          <w:rFonts w:hint="eastAsia" w:ascii="宋体" w:hAnsi="宋体"/>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6"/>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评分项</w:t>
            </w:r>
          </w:p>
        </w:tc>
        <w:tc>
          <w:tcPr>
            <w:tcW w:w="45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ascii="宋体" w:hAnsi="宋体"/>
                <w:b/>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价格部分</w:t>
            </w:r>
          </w:p>
        </w:tc>
        <w:tc>
          <w:tcPr>
            <w:tcW w:w="45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2</w:t>
            </w:r>
            <w:r>
              <w:rPr>
                <w:rFonts w:ascii="宋体" w:hAnsi="宋体"/>
                <w:b/>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ascii="宋体" w:hAnsi="宋体"/>
                <w:b/>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技术部分</w:t>
            </w:r>
          </w:p>
        </w:tc>
        <w:tc>
          <w:tcPr>
            <w:tcW w:w="45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2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8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ascii="宋体" w:hAnsi="宋体" w:cs="仿宋"/>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仿宋"/>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hint="eastAsia" w:ascii="宋体" w:hAnsi="宋体" w:cs="仿宋"/>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ascii="宋体" w:hAnsi="宋体" w:cs="仿宋"/>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hint="eastAsia" w:ascii="宋体" w:hAnsi="宋体" w:cs="仿宋"/>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ascii="宋体" w:hAnsi="宋体" w:cs="仿宋"/>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hint="eastAsia" w:ascii="宋体" w:hAnsi="宋体" w:cs="仿宋"/>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hint="eastAsia" w:ascii="宋体" w:hAnsi="宋体" w:cs="仿宋"/>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zCs w:val="21"/>
              </w:rPr>
            </w:pPr>
            <w:r>
              <w:rPr>
                <w:rFonts w:hint="eastAsia" w:ascii="宋体" w:hAnsi="宋体" w:cs="仿宋"/>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Cs w:val="21"/>
              </w:rPr>
            </w:pPr>
            <w:r>
              <w:rPr>
                <w:rFonts w:hint="eastAsia" w:ascii="宋体" w:hAnsi="宋体" w:cs="仿宋"/>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Cs w:val="21"/>
              </w:rPr>
            </w:pPr>
            <w:r>
              <w:rPr>
                <w:rFonts w:hint="eastAsia" w:ascii="宋体" w:hAnsi="宋体" w:cs="仿宋"/>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Cs w:val="21"/>
              </w:rPr>
            </w:pPr>
            <w:r>
              <w:rPr>
                <w:rFonts w:hint="eastAsia" w:ascii="宋体" w:hAnsi="宋体" w:cs="仿宋"/>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Cs w:val="21"/>
              </w:rPr>
            </w:pPr>
            <w:r>
              <w:rPr>
                <w:rFonts w:hint="eastAsia" w:ascii="宋体" w:hAnsi="宋体" w:cs="仿宋"/>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Cs w:val="21"/>
              </w:rPr>
            </w:pPr>
            <w:r>
              <w:rPr>
                <w:rFonts w:hint="eastAsia" w:ascii="宋体" w:hAnsi="宋体" w:cs="仿宋"/>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仿宋"/>
                <w:szCs w:val="21"/>
              </w:rPr>
            </w:pPr>
            <w:r>
              <w:rPr>
                <w:rFonts w:hint="eastAsia" w:ascii="宋体" w:hAnsi="宋体" w:cs="仿宋"/>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仿宋"/>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ascii="宋体" w:hAnsi="宋体"/>
                <w:b/>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商务部分</w:t>
            </w:r>
          </w:p>
        </w:tc>
        <w:tc>
          <w:tcPr>
            <w:tcW w:w="4588"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8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r>
              <w:rPr>
                <w:rFonts w:ascii="宋体" w:hAnsi="宋体"/>
                <w:szCs w:val="21"/>
              </w:rPr>
              <w:t>投标人近三年（2011年至今）同类业绩，提供3个或以上同类业绩即得满分，提供2个得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宋体" w:hAnsi="宋体"/>
                <w:szCs w:val="21"/>
              </w:rPr>
            </w:pPr>
            <w:r>
              <w:rPr>
                <w:rFonts w:ascii="宋体" w:hAnsi="宋体"/>
                <w:szCs w:val="21"/>
              </w:rPr>
              <w:t>具有广东省内服务网点得1分，没有不得分。</w:t>
            </w:r>
          </w:p>
          <w:p>
            <w:pPr>
              <w:widowControl/>
              <w:spacing w:line="120" w:lineRule="atLeast"/>
              <w:jc w:val="left"/>
              <w:rPr>
                <w:rFonts w:ascii="宋体" w:hAnsi="宋体"/>
                <w:szCs w:val="21"/>
              </w:rPr>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center"/>
              <w:rPr>
                <w:rFonts w:ascii="宋体" w:hAnsi="宋体"/>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3850"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4</w:t>
            </w: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诚信情况</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5</w:t>
            </w:r>
          </w:p>
        </w:tc>
        <w:tc>
          <w:tcPr>
            <w:tcW w:w="681" w:type="dxa"/>
          </w:tcPr>
          <w:p>
            <w:pPr>
              <w:widowControl/>
              <w:spacing w:line="120" w:lineRule="atLeast"/>
              <w:jc w:val="center"/>
              <w:rPr>
                <w:rFonts w:ascii="宋体" w:hAnsi="宋体"/>
                <w:szCs w:val="21"/>
              </w:rPr>
            </w:pP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850" w:type="dxa"/>
            <w:tcBorders>
              <w:top w:val="single" w:color="auto" w:sz="4" w:space="0"/>
              <w:left w:val="single" w:color="auto" w:sz="4" w:space="0"/>
              <w:bottom w:val="single" w:color="auto" w:sz="4" w:space="0"/>
              <w:right w:val="single" w:color="auto" w:sz="4" w:space="0"/>
            </w:tcBorders>
            <w:vAlign w:val="center"/>
          </w:tcPr>
          <w:p>
            <w:pPr>
              <w:widowControl/>
              <w:spacing w:line="120" w:lineRule="atLeas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304"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评分因素</w:t>
            </w:r>
          </w:p>
        </w:tc>
        <w:tc>
          <w:tcPr>
            <w:tcW w:w="68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权重</w:t>
            </w:r>
          </w:p>
        </w:tc>
        <w:tc>
          <w:tcPr>
            <w:tcW w:w="73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评分方式</w:t>
            </w:r>
          </w:p>
        </w:tc>
        <w:tc>
          <w:tcPr>
            <w:tcW w:w="385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pPr>
              <w:widowControl/>
              <w:ind w:firstLine="105" w:firstLineChars="50"/>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专家打分</w:t>
            </w:r>
          </w:p>
        </w:tc>
        <w:tc>
          <w:tcPr>
            <w:tcW w:w="3850"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hint="eastAsia" w:ascii="宋体" w:hAnsi="宋体"/>
          <w:color w:val="000000"/>
          <w:szCs w:val="21"/>
        </w:rPr>
      </w:pPr>
      <w:bookmarkStart w:id="0" w:name="InsertEnd"/>
      <w:bookmarkEnd w:id="0"/>
    </w:p>
    <w:p>
      <w:pPr>
        <w:spacing w:line="360" w:lineRule="exact"/>
        <w:jc w:val="left"/>
        <w:rPr>
          <w:rFonts w:hint="eastAsia" w:ascii="宋体" w:hAnsi="宋体"/>
          <w:color w:val="000000"/>
          <w:szCs w:val="21"/>
        </w:rPr>
      </w:pPr>
      <w:r>
        <w:rPr>
          <w:rFonts w:hint="eastAsia" w:ascii="宋体" w:hAnsi="宋体"/>
          <w:color w:val="000000"/>
          <w:szCs w:val="21"/>
        </w:rPr>
        <w:t>说明：</w:t>
      </w:r>
    </w:p>
    <w:p>
      <w:pPr>
        <w:spacing w:line="360" w:lineRule="exact"/>
        <w:jc w:val="left"/>
        <w:rPr>
          <w:rFonts w:hint="eastAsia" w:ascii="宋体" w:hAnsi="宋体"/>
          <w:color w:val="000000"/>
          <w:szCs w:val="21"/>
        </w:rPr>
      </w:pPr>
      <w:r>
        <w:rPr>
          <w:rFonts w:hint="eastAsia" w:ascii="宋体" w:hAnsi="宋体"/>
          <w:color w:val="000000"/>
          <w:szCs w:val="21"/>
        </w:rPr>
        <w:t>1、本评分表中每一栏的得分最高不得超过该项评审指标的分值。</w:t>
      </w:r>
    </w:p>
    <w:p>
      <w:pPr>
        <w:spacing w:line="360" w:lineRule="exact"/>
        <w:jc w:val="left"/>
        <w:rPr>
          <w:rFonts w:hint="eastAsia"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pPr>
        <w:rPr>
          <w:rFonts w:hint="eastAsia"/>
        </w:rPr>
      </w:pPr>
    </w:p>
    <w:p>
      <w:pPr>
        <w:spacing w:after="78"/>
        <w:jc w:val="left"/>
        <w:outlineLvl w:val="0"/>
        <w:rPr>
          <w:rFonts w:hint="eastAsia" w:ascii="宋体" w:hAnsi="宋体" w:eastAsia="宋体"/>
          <w:color w:val="000000"/>
          <w:sz w:val="40"/>
          <w:szCs w:val="40"/>
          <w:lang w:eastAsia="zh-CN"/>
        </w:rPr>
      </w:pPr>
      <w:r>
        <w:rPr>
          <w:rFonts w:hint="eastAsia" w:ascii="宋体" w:hAnsi="宋体"/>
          <w:color w:val="000000"/>
          <w:sz w:val="40"/>
          <w:szCs w:val="40"/>
          <w:lang w:eastAsia="zh-CN"/>
        </w:rPr>
        <w:t>项目：总预算</w:t>
      </w:r>
      <w:r>
        <w:rPr>
          <w:rFonts w:hint="eastAsia" w:ascii="宋体" w:hAnsi="宋体"/>
          <w:color w:val="000000"/>
          <w:sz w:val="40"/>
          <w:szCs w:val="40"/>
          <w:lang w:val="en-US" w:eastAsia="zh-CN"/>
        </w:rPr>
        <w:t xml:space="preserve">  19万元</w:t>
      </w:r>
    </w:p>
    <w:p>
      <w:pPr>
        <w:spacing w:after="78"/>
        <w:jc w:val="center"/>
        <w:outlineLvl w:val="0"/>
        <w:rPr>
          <w:rFonts w:ascii="宋体" w:hAnsi="宋体"/>
          <w:color w:val="000000"/>
          <w:sz w:val="40"/>
          <w:szCs w:val="40"/>
        </w:rPr>
      </w:pPr>
      <w:r>
        <w:rPr>
          <w:rFonts w:hint="eastAsia" w:ascii="宋体" w:hAnsi="宋体"/>
          <w:color w:val="000000"/>
          <w:sz w:val="40"/>
          <w:szCs w:val="40"/>
        </w:rPr>
        <w:t>深圳市儿童医院飞利浦DSA保修</w:t>
      </w:r>
    </w:p>
    <w:p>
      <w:pPr>
        <w:spacing w:after="78"/>
        <w:jc w:val="center"/>
        <w:outlineLvl w:val="0"/>
        <w:rPr>
          <w:rFonts w:hint="eastAsia" w:ascii="宋体" w:hAnsi="宋体"/>
          <w:color w:val="000000"/>
          <w:sz w:val="40"/>
          <w:szCs w:val="40"/>
        </w:rPr>
      </w:pPr>
      <w:r>
        <w:rPr>
          <w:rFonts w:hint="eastAsia" w:ascii="宋体" w:hAnsi="宋体"/>
          <w:color w:val="000000"/>
          <w:sz w:val="40"/>
          <w:szCs w:val="40"/>
        </w:rPr>
        <w:t>招标参数</w:t>
      </w:r>
    </w:p>
    <w:tbl>
      <w:tblPr>
        <w:tblStyle w:val="6"/>
        <w:tblW w:w="9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33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26" w:type="dxa"/>
            <w:tcBorders>
              <w:top w:val="single" w:color="auto" w:sz="4" w:space="0"/>
              <w:left w:val="single" w:color="auto" w:sz="4" w:space="0"/>
              <w:bottom w:val="single" w:color="auto" w:sz="4" w:space="0"/>
              <w:right w:val="single" w:color="auto" w:sz="4" w:space="0"/>
            </w:tcBorders>
            <w:vAlign w:val="top"/>
          </w:tcPr>
          <w:p>
            <w:pPr>
              <w:spacing w:after="78"/>
              <w:rPr>
                <w:rFonts w:ascii="宋体" w:hAnsi="宋体"/>
                <w:color w:val="000000"/>
                <w:kern w:val="0"/>
                <w:sz w:val="22"/>
                <w:szCs w:val="22"/>
              </w:rPr>
            </w:pPr>
            <w:r>
              <w:rPr>
                <w:rFonts w:hint="eastAsia" w:ascii="宋体" w:hAnsi="宋体"/>
                <w:color w:val="000000"/>
                <w:kern w:val="0"/>
                <w:sz w:val="22"/>
                <w:szCs w:val="22"/>
              </w:rPr>
              <w:t>项目名称</w:t>
            </w:r>
          </w:p>
        </w:tc>
        <w:tc>
          <w:tcPr>
            <w:tcW w:w="7638" w:type="dxa"/>
            <w:gridSpan w:val="2"/>
            <w:tcBorders>
              <w:top w:val="single" w:color="auto" w:sz="4" w:space="0"/>
              <w:left w:val="single" w:color="auto" w:sz="4" w:space="0"/>
              <w:bottom w:val="single" w:color="auto" w:sz="4" w:space="0"/>
              <w:right w:val="single" w:color="auto" w:sz="4" w:space="0"/>
            </w:tcBorders>
            <w:vAlign w:val="top"/>
          </w:tcPr>
          <w:p>
            <w:pPr>
              <w:spacing w:after="78"/>
              <w:jc w:val="center"/>
              <w:rPr>
                <w:rFonts w:ascii="仿宋_GB2312" w:eastAsia="仿宋_GB2312"/>
                <w:color w:val="000000"/>
                <w:sz w:val="22"/>
                <w:szCs w:val="22"/>
              </w:rPr>
            </w:pPr>
            <w:r>
              <w:rPr>
                <w:color w:val="000000"/>
                <w:sz w:val="22"/>
                <w:szCs w:val="22"/>
              </w:rPr>
              <w:t>A</w:t>
            </w:r>
            <w:r>
              <w:rPr>
                <w:rFonts w:hint="eastAsia"/>
                <w:color w:val="000000"/>
                <w:sz w:val="22"/>
                <w:szCs w:val="22"/>
              </w:rPr>
              <w:t>llura</w:t>
            </w:r>
            <w:r>
              <w:rPr>
                <w:color w:val="000000"/>
                <w:sz w:val="22"/>
                <w:szCs w:val="22"/>
              </w:rPr>
              <w:t xml:space="preserve"> </w:t>
            </w:r>
            <w:r>
              <w:rPr>
                <w:rFonts w:hint="eastAsia"/>
                <w:color w:val="000000"/>
                <w:sz w:val="22"/>
                <w:szCs w:val="22"/>
              </w:rPr>
              <w:t>FD20保修项目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vAlign w:val="top"/>
          </w:tcPr>
          <w:p>
            <w:pPr>
              <w:spacing w:after="78"/>
              <w:rPr>
                <w:rFonts w:ascii="宋体" w:hAnsi="宋体"/>
                <w:color w:val="000000"/>
                <w:kern w:val="0"/>
                <w:sz w:val="22"/>
                <w:szCs w:val="22"/>
              </w:rPr>
            </w:pPr>
            <w:r>
              <w:rPr>
                <w:rFonts w:hint="eastAsia" w:ascii="宋体" w:hAnsi="宋体"/>
                <w:color w:val="000000"/>
                <w:kern w:val="0"/>
                <w:sz w:val="22"/>
                <w:szCs w:val="22"/>
              </w:rPr>
              <w:t>用途</w:t>
            </w:r>
          </w:p>
        </w:tc>
        <w:tc>
          <w:tcPr>
            <w:tcW w:w="7638" w:type="dxa"/>
            <w:gridSpan w:val="2"/>
            <w:tcBorders>
              <w:top w:val="single" w:color="auto" w:sz="4" w:space="0"/>
              <w:left w:val="single" w:color="auto" w:sz="4" w:space="0"/>
              <w:bottom w:val="single" w:color="auto" w:sz="4" w:space="0"/>
              <w:right w:val="single" w:color="auto" w:sz="4" w:space="0"/>
            </w:tcBorders>
            <w:vAlign w:val="top"/>
          </w:tcPr>
          <w:p>
            <w:pPr>
              <w:spacing w:after="78"/>
              <w:rPr>
                <w:rFonts w:ascii="宋体" w:hAnsi="宋体"/>
                <w:color w:val="000000"/>
                <w:kern w:val="0"/>
                <w:sz w:val="22"/>
                <w:szCs w:val="22"/>
              </w:rPr>
            </w:pPr>
            <w:r>
              <w:rPr>
                <w:rFonts w:hint="eastAsia" w:ascii="微软雅黑" w:hAnsi="微软雅黑" w:eastAsia="微软雅黑" w:cs="微软雅黑"/>
                <w:bCs/>
                <w:color w:val="000000"/>
                <w:sz w:val="22"/>
                <w:szCs w:val="22"/>
              </w:rPr>
              <w:t>飞利浦</w:t>
            </w:r>
            <w:r>
              <w:rPr>
                <w:rFonts w:hint="eastAsia" w:ascii="仿宋_GB2312" w:hAnsi="宋体" w:eastAsia="仿宋_GB2312"/>
                <w:bCs/>
                <w:color w:val="000000"/>
                <w:sz w:val="22"/>
                <w:szCs w:val="22"/>
              </w:rPr>
              <w:t>Allura FD20 DSA</w:t>
            </w:r>
            <w:r>
              <w:rPr>
                <w:rFonts w:hint="eastAsia" w:ascii="微软雅黑" w:hAnsi="微软雅黑" w:eastAsia="微软雅黑" w:cs="微软雅黑"/>
                <w:bCs/>
                <w:color w:val="000000"/>
                <w:sz w:val="22"/>
                <w:szCs w:val="22"/>
              </w:rPr>
              <w:t>技术保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526" w:type="dxa"/>
            <w:tcBorders>
              <w:top w:val="single" w:color="auto" w:sz="4" w:space="0"/>
              <w:left w:val="single" w:color="auto" w:sz="4" w:space="0"/>
              <w:bottom w:val="single" w:color="auto" w:sz="4" w:space="0"/>
              <w:right w:val="single" w:color="auto" w:sz="4" w:space="0"/>
            </w:tcBorders>
            <w:vAlign w:val="top"/>
          </w:tcPr>
          <w:p>
            <w:pPr>
              <w:spacing w:after="78"/>
              <w:rPr>
                <w:rFonts w:ascii="宋体" w:hAnsi="宋体"/>
                <w:color w:val="000000"/>
                <w:kern w:val="0"/>
                <w:sz w:val="22"/>
                <w:szCs w:val="22"/>
              </w:rPr>
            </w:pPr>
            <w:r>
              <w:rPr>
                <w:rFonts w:hint="eastAsia" w:ascii="宋体" w:hAnsi="宋体"/>
                <w:color w:val="000000"/>
                <w:kern w:val="0"/>
                <w:sz w:val="22"/>
                <w:szCs w:val="22"/>
              </w:rPr>
              <w:t>保修内容</w:t>
            </w:r>
          </w:p>
        </w:tc>
        <w:tc>
          <w:tcPr>
            <w:tcW w:w="7638" w:type="dxa"/>
            <w:gridSpan w:val="2"/>
            <w:tcBorders>
              <w:top w:val="single" w:color="auto" w:sz="4" w:space="0"/>
              <w:left w:val="single" w:color="auto" w:sz="4" w:space="0"/>
              <w:bottom w:val="single" w:color="auto" w:sz="4" w:space="0"/>
              <w:right w:val="single" w:color="auto" w:sz="4" w:space="0"/>
            </w:tcBorders>
            <w:vAlign w:val="top"/>
          </w:tcPr>
          <w:p>
            <w:pPr>
              <w:numPr>
                <w:ilvl w:val="0"/>
                <w:numId w:val="1"/>
              </w:numPr>
              <w:spacing w:after="78" w:line="240" w:lineRule="auto"/>
              <w:rPr>
                <w:color w:val="000000"/>
                <w:sz w:val="22"/>
                <w:szCs w:val="22"/>
              </w:rPr>
            </w:pPr>
            <w:r>
              <w:rPr>
                <w:rFonts w:hint="eastAsia"/>
                <w:color w:val="000000"/>
                <w:sz w:val="22"/>
                <w:szCs w:val="22"/>
              </w:rPr>
              <w:t>整机金牌服务，内容包括：</w:t>
            </w:r>
            <w:r>
              <w:rPr>
                <w:color w:val="000000"/>
                <w:sz w:val="22"/>
                <w:szCs w:val="22"/>
              </w:rPr>
              <w:t>2</w:t>
            </w:r>
            <w:r>
              <w:rPr>
                <w:rFonts w:hint="eastAsia"/>
                <w:color w:val="000000"/>
                <w:sz w:val="22"/>
                <w:szCs w:val="22"/>
              </w:rPr>
              <w:t>次保养，不限次数维修，不包含任何备件</w:t>
            </w:r>
          </w:p>
          <w:p>
            <w:pPr>
              <w:numPr>
                <w:ilvl w:val="0"/>
                <w:numId w:val="1"/>
              </w:numPr>
              <w:spacing w:after="78" w:line="240" w:lineRule="auto"/>
              <w:rPr>
                <w:rFonts w:hint="eastAsia"/>
                <w:color w:val="000000"/>
                <w:sz w:val="22"/>
                <w:szCs w:val="22"/>
              </w:rPr>
            </w:pPr>
            <w:r>
              <w:rPr>
                <w:rFonts w:hint="eastAsia"/>
                <w:color w:val="000000"/>
                <w:sz w:val="22"/>
                <w:szCs w:val="22"/>
              </w:rPr>
              <w:t>合同期：1年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spacing w:after="78" w:line="240" w:lineRule="auto"/>
              <w:jc w:val="left"/>
              <w:rPr>
                <w:rFonts w:ascii="宋体" w:hAnsi="宋体"/>
                <w:bCs/>
                <w:color w:val="000000"/>
                <w:sz w:val="22"/>
                <w:szCs w:val="22"/>
              </w:rPr>
            </w:pPr>
            <w:r>
              <w:rPr>
                <w:rFonts w:hint="eastAsia" w:ascii="宋体" w:hAnsi="宋体"/>
                <w:color w:val="000000"/>
                <w:kern w:val="0"/>
                <w:sz w:val="22"/>
                <w:szCs w:val="22"/>
              </w:rPr>
              <w:t>商务参数</w:t>
            </w:r>
          </w:p>
        </w:tc>
        <w:tc>
          <w:tcPr>
            <w:tcW w:w="7638"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after="78" w:line="240" w:lineRule="auto"/>
              <w:ind w:left="0" w:leftChars="0" w:right="0" w:rightChars="0" w:firstLine="0" w:firstLineChars="0"/>
              <w:jc w:val="left"/>
              <w:textAlignment w:val="auto"/>
              <w:outlineLvl w:val="9"/>
              <w:rPr>
                <w:rFonts w:hint="eastAsia"/>
                <w:sz w:val="22"/>
                <w:szCs w:val="22"/>
              </w:rPr>
            </w:pPr>
            <w:r>
              <w:rPr>
                <w:sz w:val="22"/>
                <w:szCs w:val="22"/>
              </w:rPr>
              <w:t>1</w:t>
            </w:r>
            <w:r>
              <w:rPr>
                <w:rFonts w:hint="eastAsia"/>
                <w:sz w:val="22"/>
                <w:szCs w:val="22"/>
              </w:rPr>
              <w:t>、 提供同设备类型的同类业绩</w:t>
            </w:r>
          </w:p>
          <w:p>
            <w:pPr>
              <w:keepNext w:val="0"/>
              <w:keepLines w:val="0"/>
              <w:pageBreakBefore w:val="0"/>
              <w:widowControl w:val="0"/>
              <w:kinsoku/>
              <w:wordWrap/>
              <w:overflowPunct/>
              <w:topLinePunct w:val="0"/>
              <w:autoSpaceDE/>
              <w:autoSpaceDN/>
              <w:bidi w:val="0"/>
              <w:adjustRightInd/>
              <w:snapToGrid w:val="0"/>
              <w:spacing w:after="78" w:line="240" w:lineRule="auto"/>
              <w:ind w:left="0" w:leftChars="0" w:right="0" w:rightChars="0" w:firstLine="0" w:firstLineChars="0"/>
              <w:jc w:val="left"/>
              <w:textAlignment w:val="auto"/>
              <w:outlineLvl w:val="9"/>
              <w:rPr>
                <w:rFonts w:hint="eastAsia"/>
                <w:sz w:val="22"/>
                <w:szCs w:val="22"/>
              </w:rPr>
            </w:pPr>
            <w:r>
              <w:rPr>
                <w:sz w:val="22"/>
                <w:szCs w:val="22"/>
              </w:rPr>
              <w:t>2</w:t>
            </w:r>
            <w:r>
              <w:rPr>
                <w:rFonts w:hint="eastAsia"/>
                <w:sz w:val="22"/>
                <w:szCs w:val="22"/>
              </w:rPr>
              <w:t>、热线服务：全国范围内开通400/800免费热线电话，需将号码填入标书，并保障24小时 *365天有在线工程师接听报修，为用户快速诊断和提供技术支持服务。接到维修要求后，不超过24小时到达现场。</w:t>
            </w:r>
          </w:p>
          <w:p>
            <w:pPr>
              <w:keepNext w:val="0"/>
              <w:keepLines w:val="0"/>
              <w:pageBreakBefore w:val="0"/>
              <w:widowControl w:val="0"/>
              <w:kinsoku/>
              <w:wordWrap/>
              <w:overflowPunct/>
              <w:topLinePunct w:val="0"/>
              <w:autoSpaceDE/>
              <w:autoSpaceDN/>
              <w:bidi w:val="0"/>
              <w:adjustRightInd/>
              <w:snapToGrid w:val="0"/>
              <w:spacing w:after="78" w:line="240" w:lineRule="auto"/>
              <w:ind w:left="0" w:leftChars="0" w:right="0" w:rightChars="0" w:firstLine="0" w:firstLineChars="0"/>
              <w:jc w:val="left"/>
              <w:textAlignment w:val="auto"/>
              <w:outlineLvl w:val="9"/>
              <w:rPr>
                <w:rFonts w:hint="eastAsia"/>
                <w:sz w:val="22"/>
                <w:szCs w:val="22"/>
              </w:rPr>
            </w:pPr>
            <w:r>
              <w:rPr>
                <w:sz w:val="22"/>
                <w:szCs w:val="22"/>
              </w:rPr>
              <w:t>4</w:t>
            </w:r>
            <w:r>
              <w:rPr>
                <w:rFonts w:hint="eastAsia"/>
                <w:sz w:val="22"/>
                <w:szCs w:val="22"/>
              </w:rPr>
              <w:t>、工时：包含在保修合同期内所需的人工费用，节假日加班免费。</w:t>
            </w:r>
          </w:p>
          <w:p>
            <w:pPr>
              <w:keepNext w:val="0"/>
              <w:keepLines w:val="0"/>
              <w:pageBreakBefore w:val="0"/>
              <w:widowControl w:val="0"/>
              <w:kinsoku/>
              <w:wordWrap/>
              <w:overflowPunct/>
              <w:topLinePunct w:val="0"/>
              <w:autoSpaceDE/>
              <w:autoSpaceDN/>
              <w:bidi w:val="0"/>
              <w:adjustRightInd/>
              <w:snapToGrid w:val="0"/>
              <w:spacing w:after="78" w:line="240" w:lineRule="auto"/>
              <w:ind w:left="0" w:leftChars="0" w:right="0" w:rightChars="0" w:firstLine="0" w:firstLineChars="0"/>
              <w:jc w:val="left"/>
              <w:textAlignment w:val="auto"/>
              <w:outlineLvl w:val="9"/>
              <w:rPr>
                <w:rFonts w:hint="eastAsia"/>
                <w:sz w:val="22"/>
                <w:szCs w:val="22"/>
              </w:rPr>
            </w:pPr>
            <w:r>
              <w:rPr>
                <w:sz w:val="22"/>
                <w:szCs w:val="22"/>
              </w:rPr>
              <w:t>5</w:t>
            </w:r>
            <w:r>
              <w:rPr>
                <w:rFonts w:hint="eastAsia"/>
                <w:sz w:val="22"/>
                <w:szCs w:val="22"/>
              </w:rPr>
              <w:t>、合同期间，如发生备件更换，保证提供原厂备件，并提供9折优惠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526" w:type="dxa"/>
            <w:tcBorders>
              <w:top w:val="single" w:color="auto" w:sz="4" w:space="0"/>
              <w:left w:val="single" w:color="auto" w:sz="4" w:space="0"/>
              <w:bottom w:val="single" w:color="auto" w:sz="4" w:space="0"/>
              <w:right w:val="single" w:color="auto" w:sz="4" w:space="0"/>
            </w:tcBorders>
            <w:vAlign w:val="center"/>
          </w:tcPr>
          <w:p>
            <w:pPr>
              <w:widowControl/>
              <w:spacing w:afterLines="0" w:line="240" w:lineRule="auto"/>
              <w:jc w:val="left"/>
              <w:rPr>
                <w:rFonts w:ascii="宋体" w:hAnsi="宋体"/>
                <w:color w:val="000000"/>
                <w:kern w:val="0"/>
                <w:sz w:val="22"/>
                <w:szCs w:val="22"/>
              </w:rPr>
            </w:pPr>
            <w:r>
              <w:rPr>
                <w:rFonts w:hint="eastAsia" w:ascii="宋体" w:hAnsi="宋体"/>
                <w:color w:val="000000"/>
                <w:kern w:val="0"/>
                <w:sz w:val="22"/>
                <w:szCs w:val="22"/>
              </w:rPr>
              <w:t>技术参数</w:t>
            </w:r>
          </w:p>
        </w:tc>
        <w:tc>
          <w:tcPr>
            <w:tcW w:w="1338" w:type="dxa"/>
            <w:tcBorders>
              <w:top w:val="single" w:color="auto" w:sz="4" w:space="0"/>
              <w:left w:val="single" w:color="auto" w:sz="4" w:space="0"/>
              <w:bottom w:val="single" w:color="auto" w:sz="4" w:space="0"/>
              <w:right w:val="single" w:color="auto" w:sz="4" w:space="0"/>
            </w:tcBorders>
            <w:vAlign w:val="top"/>
          </w:tcPr>
          <w:p>
            <w:pPr>
              <w:pStyle w:val="11"/>
              <w:rPr>
                <w:rFonts w:ascii="宋体" w:hAnsi="宋体" w:cs="Times New Roman"/>
                <w:spacing w:val="-2"/>
                <w:kern w:val="2"/>
                <w:sz w:val="22"/>
                <w:szCs w:val="22"/>
                <w:lang w:val="en-AU"/>
              </w:rPr>
            </w:pPr>
          </w:p>
        </w:tc>
        <w:tc>
          <w:tcPr>
            <w:tcW w:w="6300" w:type="dxa"/>
            <w:tcBorders>
              <w:top w:val="single" w:color="auto" w:sz="4" w:space="0"/>
              <w:left w:val="single" w:color="auto" w:sz="4" w:space="0"/>
              <w:bottom w:val="single" w:color="auto" w:sz="4" w:space="0"/>
              <w:right w:val="single" w:color="auto" w:sz="4" w:space="0"/>
            </w:tcBorders>
            <w:vAlign w:val="top"/>
          </w:tcPr>
          <w:p>
            <w:pPr>
              <w:tabs>
                <w:tab w:val="left" w:pos="-720"/>
              </w:tabs>
              <w:suppressAutoHyphens/>
              <w:spacing w:after="78"/>
              <w:rPr>
                <w:rFonts w:hint="eastAsia" w:ascii="宋体" w:hAnsi="宋体"/>
                <w:color w:val="000000"/>
                <w:spacing w:val="-2"/>
                <w:sz w:val="22"/>
                <w:szCs w:val="22"/>
                <w:lang w:val="en-AU"/>
              </w:rPr>
            </w:pPr>
            <w:r>
              <w:rPr>
                <w:rFonts w:hint="eastAsia" w:ascii="宋体" w:hAnsi="宋体"/>
                <w:color w:val="000000"/>
                <w:spacing w:val="-2"/>
                <w:sz w:val="22"/>
                <w:szCs w:val="22"/>
                <w:lang w:val="en-AU"/>
              </w:rPr>
              <w:t xml:space="preserve"> </w:t>
            </w:r>
            <w:r>
              <w:rPr>
                <w:rFonts w:hint="eastAsia" w:ascii="微软雅黑" w:hAnsi="微软雅黑" w:eastAsia="微软雅黑" w:cs="微软雅黑"/>
                <w:bCs/>
                <w:color w:val="000000"/>
                <w:sz w:val="22"/>
                <w:szCs w:val="22"/>
              </w:rPr>
              <w:t>飞利浦</w:t>
            </w:r>
            <w:r>
              <w:rPr>
                <w:rFonts w:hint="eastAsia" w:ascii="仿宋_GB2312" w:hAnsi="宋体" w:eastAsia="仿宋_GB2312"/>
                <w:bCs/>
                <w:color w:val="000000"/>
                <w:sz w:val="22"/>
                <w:szCs w:val="22"/>
              </w:rPr>
              <w:t>Allura FD20 DSA</w:t>
            </w:r>
            <w:r>
              <w:rPr>
                <w:color w:val="000000"/>
                <w:sz w:val="22"/>
                <w:szCs w:val="22"/>
              </w:rPr>
              <w:t>保修</w:t>
            </w:r>
            <w:r>
              <w:rPr>
                <w:rFonts w:hint="eastAsia" w:ascii="宋体" w:hAnsi="宋体"/>
                <w:color w:val="000000"/>
                <w:spacing w:val="-2"/>
                <w:sz w:val="22"/>
                <w:szCs w:val="22"/>
                <w:lang w:val="en-AU"/>
              </w:rPr>
              <w:t>要求：</w:t>
            </w:r>
          </w:p>
          <w:p>
            <w:pPr>
              <w:spacing w:after="78" w:line="360" w:lineRule="auto"/>
              <w:ind w:left="780"/>
              <w:rPr>
                <w:rFonts w:hint="eastAsia"/>
                <w:sz w:val="22"/>
                <w:szCs w:val="22"/>
              </w:rPr>
            </w:pPr>
            <w:r>
              <w:rPr>
                <w:rFonts w:hint="eastAsia"/>
                <w:sz w:val="22"/>
                <w:szCs w:val="22"/>
              </w:rPr>
              <w:t>1、安全检查：按照设备生产厂家设备本身标准及当地规定执行。</w:t>
            </w:r>
          </w:p>
          <w:p>
            <w:pPr>
              <w:numPr>
                <w:ilvl w:val="0"/>
                <w:numId w:val="2"/>
              </w:numPr>
              <w:spacing w:after="78" w:afterLines="0" w:line="360" w:lineRule="auto"/>
              <w:jc w:val="left"/>
              <w:rPr>
                <w:rFonts w:hint="eastAsia"/>
                <w:sz w:val="22"/>
                <w:szCs w:val="22"/>
              </w:rPr>
            </w:pPr>
            <w:r>
              <w:rPr>
                <w:rFonts w:hint="eastAsia"/>
                <w:sz w:val="22"/>
                <w:szCs w:val="22"/>
              </w:rPr>
              <w:t>制定检查计划</w:t>
            </w:r>
          </w:p>
          <w:p>
            <w:pPr>
              <w:numPr>
                <w:ilvl w:val="0"/>
                <w:numId w:val="2"/>
              </w:numPr>
              <w:spacing w:after="78" w:afterLines="0" w:line="360" w:lineRule="auto"/>
              <w:jc w:val="left"/>
              <w:rPr>
                <w:rFonts w:hint="eastAsia"/>
                <w:sz w:val="22"/>
                <w:szCs w:val="22"/>
              </w:rPr>
            </w:pPr>
            <w:r>
              <w:rPr>
                <w:rFonts w:hint="eastAsia"/>
                <w:sz w:val="22"/>
                <w:szCs w:val="22"/>
              </w:rPr>
              <w:t>机械安全检查</w:t>
            </w:r>
          </w:p>
          <w:p>
            <w:pPr>
              <w:numPr>
                <w:ilvl w:val="0"/>
                <w:numId w:val="2"/>
              </w:numPr>
              <w:spacing w:after="78" w:afterLines="0" w:line="360" w:lineRule="auto"/>
              <w:jc w:val="left"/>
              <w:rPr>
                <w:rFonts w:hint="eastAsia"/>
                <w:sz w:val="22"/>
                <w:szCs w:val="22"/>
              </w:rPr>
            </w:pPr>
            <w:r>
              <w:rPr>
                <w:rFonts w:hint="eastAsia"/>
                <w:sz w:val="22"/>
                <w:szCs w:val="22"/>
              </w:rPr>
              <w:t>电气安全检查</w:t>
            </w:r>
          </w:p>
          <w:p>
            <w:pPr>
              <w:numPr>
                <w:ilvl w:val="0"/>
                <w:numId w:val="2"/>
              </w:numPr>
              <w:spacing w:after="78" w:afterLines="0" w:line="360" w:lineRule="auto"/>
              <w:jc w:val="left"/>
              <w:rPr>
                <w:rFonts w:hint="eastAsia"/>
                <w:sz w:val="22"/>
                <w:szCs w:val="22"/>
              </w:rPr>
            </w:pPr>
            <w:r>
              <w:rPr>
                <w:rFonts w:hint="eastAsia"/>
                <w:sz w:val="22"/>
                <w:szCs w:val="22"/>
              </w:rPr>
              <w:t>记录检查结果</w:t>
            </w:r>
          </w:p>
          <w:p>
            <w:pPr>
              <w:spacing w:after="78" w:line="360" w:lineRule="auto"/>
              <w:ind w:left="780"/>
              <w:rPr>
                <w:rFonts w:hint="eastAsia"/>
                <w:sz w:val="22"/>
                <w:szCs w:val="22"/>
              </w:rPr>
            </w:pPr>
            <w:r>
              <w:rPr>
                <w:rFonts w:hint="eastAsia"/>
                <w:sz w:val="22"/>
                <w:szCs w:val="22"/>
              </w:rPr>
              <w:t>2、预防性保养：按照保养计划提供，每年</w:t>
            </w:r>
            <w:r>
              <w:rPr>
                <w:sz w:val="22"/>
                <w:szCs w:val="22"/>
              </w:rPr>
              <w:t>2</w:t>
            </w:r>
            <w:r>
              <w:rPr>
                <w:rFonts w:hint="eastAsia"/>
                <w:sz w:val="22"/>
                <w:szCs w:val="22"/>
              </w:rPr>
              <w:t>次，每次工作提供保养报告，以保证设备处于最佳运行状态。</w:t>
            </w:r>
          </w:p>
          <w:p>
            <w:pPr>
              <w:numPr>
                <w:ilvl w:val="0"/>
                <w:numId w:val="2"/>
              </w:numPr>
              <w:spacing w:after="78" w:afterLines="0" w:line="360" w:lineRule="auto"/>
              <w:jc w:val="left"/>
              <w:rPr>
                <w:rFonts w:hint="eastAsia"/>
                <w:sz w:val="22"/>
                <w:szCs w:val="22"/>
              </w:rPr>
            </w:pPr>
            <w:r>
              <w:rPr>
                <w:rFonts w:hint="eastAsia"/>
                <w:sz w:val="22"/>
                <w:szCs w:val="22"/>
              </w:rPr>
              <w:t>记录并安排保养时间</w:t>
            </w:r>
          </w:p>
          <w:p>
            <w:pPr>
              <w:numPr>
                <w:ilvl w:val="0"/>
                <w:numId w:val="2"/>
              </w:numPr>
              <w:spacing w:after="78" w:afterLines="0" w:line="360" w:lineRule="auto"/>
              <w:jc w:val="left"/>
              <w:rPr>
                <w:rFonts w:hint="eastAsia"/>
                <w:sz w:val="22"/>
                <w:szCs w:val="22"/>
              </w:rPr>
            </w:pPr>
            <w:r>
              <w:rPr>
                <w:rFonts w:hint="eastAsia"/>
                <w:sz w:val="22"/>
                <w:szCs w:val="22"/>
              </w:rPr>
              <w:t>按照保养计划更换损耗部件</w:t>
            </w:r>
          </w:p>
          <w:p>
            <w:pPr>
              <w:numPr>
                <w:ilvl w:val="0"/>
                <w:numId w:val="2"/>
              </w:numPr>
              <w:spacing w:after="78" w:afterLines="0" w:line="360" w:lineRule="auto"/>
              <w:jc w:val="left"/>
              <w:rPr>
                <w:rFonts w:hint="eastAsia"/>
                <w:sz w:val="22"/>
                <w:szCs w:val="22"/>
              </w:rPr>
            </w:pPr>
            <w:r>
              <w:rPr>
                <w:rFonts w:hint="eastAsia"/>
                <w:sz w:val="22"/>
                <w:szCs w:val="22"/>
              </w:rPr>
              <w:t>按照设备生产厂家标准进行调校</w:t>
            </w:r>
          </w:p>
          <w:p>
            <w:pPr>
              <w:numPr>
                <w:ilvl w:val="0"/>
                <w:numId w:val="2"/>
              </w:numPr>
              <w:spacing w:after="78" w:afterLines="0" w:line="360" w:lineRule="auto"/>
              <w:jc w:val="left"/>
              <w:rPr>
                <w:rFonts w:hint="eastAsia"/>
                <w:sz w:val="22"/>
                <w:szCs w:val="22"/>
              </w:rPr>
            </w:pPr>
            <w:r>
              <w:rPr>
                <w:rFonts w:hint="eastAsia"/>
                <w:sz w:val="22"/>
                <w:szCs w:val="22"/>
              </w:rPr>
              <w:t>确认各项技术指标及性能</w:t>
            </w:r>
          </w:p>
          <w:p>
            <w:pPr>
              <w:numPr>
                <w:ilvl w:val="0"/>
                <w:numId w:val="2"/>
              </w:numPr>
              <w:spacing w:after="78" w:afterLines="0" w:line="360" w:lineRule="auto"/>
              <w:jc w:val="left"/>
              <w:rPr>
                <w:rFonts w:hint="eastAsia"/>
                <w:b/>
                <w:sz w:val="22"/>
                <w:szCs w:val="22"/>
              </w:rPr>
            </w:pPr>
            <w:r>
              <w:rPr>
                <w:rFonts w:hint="eastAsia"/>
                <w:b/>
                <w:sz w:val="22"/>
                <w:szCs w:val="22"/>
              </w:rPr>
              <w:t>每年年检时，服务方负责并保证全部监测指标达标，通过相关部门检测时，保障取得合格证。</w:t>
            </w:r>
          </w:p>
          <w:p>
            <w:pPr>
              <w:numPr>
                <w:ilvl w:val="0"/>
                <w:numId w:val="2"/>
              </w:numPr>
              <w:spacing w:after="78" w:afterLines="0" w:line="360" w:lineRule="auto"/>
              <w:jc w:val="left"/>
              <w:rPr>
                <w:rFonts w:hint="eastAsia"/>
                <w:sz w:val="22"/>
                <w:szCs w:val="22"/>
              </w:rPr>
            </w:pPr>
            <w:r>
              <w:rPr>
                <w:rFonts w:hint="eastAsia"/>
                <w:sz w:val="22"/>
                <w:szCs w:val="22"/>
              </w:rPr>
              <w:t>记录设备状况</w:t>
            </w:r>
          </w:p>
          <w:p>
            <w:pPr>
              <w:spacing w:after="78" w:line="360" w:lineRule="auto"/>
              <w:ind w:left="780"/>
              <w:rPr>
                <w:rFonts w:hint="eastAsia"/>
                <w:sz w:val="22"/>
                <w:szCs w:val="22"/>
              </w:rPr>
            </w:pPr>
            <w:r>
              <w:rPr>
                <w:rFonts w:hint="eastAsia"/>
                <w:sz w:val="22"/>
                <w:szCs w:val="22"/>
              </w:rPr>
              <w:t>3、预防性保养损耗品：</w:t>
            </w:r>
          </w:p>
          <w:p>
            <w:pPr>
              <w:numPr>
                <w:ilvl w:val="0"/>
                <w:numId w:val="2"/>
              </w:numPr>
              <w:spacing w:after="78" w:afterLines="0" w:line="360" w:lineRule="auto"/>
              <w:jc w:val="left"/>
              <w:rPr>
                <w:rFonts w:hint="eastAsia"/>
                <w:sz w:val="22"/>
                <w:szCs w:val="22"/>
              </w:rPr>
            </w:pPr>
            <w:r>
              <w:rPr>
                <w:rFonts w:hint="eastAsia"/>
                <w:sz w:val="22"/>
                <w:szCs w:val="22"/>
              </w:rPr>
              <w:t>预防性保养中需要更换的损耗品由服务商免费提供。</w:t>
            </w:r>
          </w:p>
          <w:p>
            <w:pPr>
              <w:spacing w:after="78" w:afterLines="0" w:line="360" w:lineRule="auto"/>
              <w:ind w:left="780"/>
              <w:jc w:val="left"/>
              <w:rPr>
                <w:rFonts w:hint="eastAsia"/>
                <w:sz w:val="22"/>
                <w:szCs w:val="22"/>
              </w:rPr>
            </w:pPr>
            <w:r>
              <w:rPr>
                <w:rFonts w:hint="eastAsia"/>
                <w:sz w:val="22"/>
                <w:szCs w:val="22"/>
              </w:rPr>
              <w:t>4、备件：</w:t>
            </w:r>
          </w:p>
          <w:p>
            <w:pPr>
              <w:numPr>
                <w:ilvl w:val="0"/>
                <w:numId w:val="2"/>
              </w:numPr>
              <w:spacing w:after="78" w:afterLines="0" w:line="360" w:lineRule="auto"/>
              <w:jc w:val="left"/>
              <w:rPr>
                <w:rFonts w:hint="eastAsia"/>
                <w:sz w:val="22"/>
                <w:szCs w:val="22"/>
              </w:rPr>
            </w:pPr>
            <w:r>
              <w:rPr>
                <w:rFonts w:hint="eastAsia"/>
                <w:sz w:val="22"/>
                <w:szCs w:val="22"/>
              </w:rPr>
              <w:t>提供保修所需的备件，备件供应要及时、充足。</w:t>
            </w:r>
          </w:p>
          <w:p>
            <w:pPr>
              <w:numPr>
                <w:ilvl w:val="0"/>
                <w:numId w:val="2"/>
              </w:numPr>
              <w:spacing w:after="78" w:afterLines="0" w:line="360" w:lineRule="auto"/>
              <w:jc w:val="left"/>
              <w:rPr>
                <w:rFonts w:hint="eastAsia"/>
                <w:b/>
                <w:sz w:val="22"/>
                <w:szCs w:val="22"/>
              </w:rPr>
            </w:pPr>
            <w:r>
              <w:rPr>
                <w:b/>
                <w:color w:val="333333"/>
                <w:sz w:val="22"/>
                <w:szCs w:val="22"/>
              </w:rPr>
              <w:t>▲</w:t>
            </w:r>
            <w:r>
              <w:rPr>
                <w:rFonts w:hint="eastAsia" w:ascii="宋体" w:cs="宋体"/>
                <w:b/>
                <w:sz w:val="22"/>
                <w:szCs w:val="22"/>
              </w:rPr>
              <w:t>所有更换的零部件必须为原厂认证合格件，并保障图像质量</w:t>
            </w:r>
          </w:p>
          <w:p>
            <w:pPr>
              <w:numPr>
                <w:ilvl w:val="0"/>
                <w:numId w:val="2"/>
              </w:numPr>
              <w:spacing w:after="78" w:afterLines="0" w:line="360" w:lineRule="auto"/>
              <w:jc w:val="left"/>
              <w:rPr>
                <w:rFonts w:hint="eastAsia"/>
                <w:sz w:val="22"/>
                <w:szCs w:val="22"/>
              </w:rPr>
            </w:pPr>
            <w:r>
              <w:rPr>
                <w:rFonts w:hint="eastAsia"/>
                <w:sz w:val="22"/>
                <w:szCs w:val="22"/>
              </w:rPr>
              <w:t>优先运送配件</w:t>
            </w:r>
          </w:p>
          <w:p>
            <w:pPr>
              <w:spacing w:after="78" w:afterLines="0" w:line="360" w:lineRule="auto"/>
              <w:ind w:left="780"/>
              <w:jc w:val="left"/>
              <w:rPr>
                <w:rFonts w:hint="eastAsia"/>
                <w:sz w:val="22"/>
                <w:szCs w:val="22"/>
              </w:rPr>
            </w:pPr>
            <w:r>
              <w:rPr>
                <w:rFonts w:hint="eastAsia"/>
                <w:sz w:val="22"/>
                <w:szCs w:val="22"/>
              </w:rPr>
              <w:t>5、安全升级</w:t>
            </w:r>
          </w:p>
          <w:p>
            <w:pPr>
              <w:numPr>
                <w:ilvl w:val="0"/>
                <w:numId w:val="2"/>
              </w:numPr>
              <w:spacing w:after="78" w:afterLines="0" w:line="360" w:lineRule="auto"/>
              <w:jc w:val="left"/>
              <w:rPr>
                <w:rFonts w:hint="eastAsia"/>
                <w:sz w:val="22"/>
                <w:szCs w:val="22"/>
              </w:rPr>
            </w:pPr>
            <w:r>
              <w:rPr>
                <w:rFonts w:hint="eastAsia"/>
                <w:sz w:val="22"/>
                <w:szCs w:val="22"/>
              </w:rPr>
              <w:t>安全升级必须在原厂规定的升级文件规定时间内完成，并在升级完成后提供原厂升级文件及工作记录。</w:t>
            </w:r>
          </w:p>
          <w:p>
            <w:pPr>
              <w:spacing w:after="78" w:afterLines="0" w:line="360" w:lineRule="auto"/>
              <w:ind w:left="780"/>
              <w:jc w:val="left"/>
              <w:rPr>
                <w:rFonts w:hint="eastAsia"/>
                <w:sz w:val="22"/>
                <w:szCs w:val="22"/>
              </w:rPr>
            </w:pPr>
            <w:r>
              <w:rPr>
                <w:rFonts w:hint="eastAsia" w:ascii="宋体" w:hAnsi="宋体"/>
                <w:sz w:val="22"/>
                <w:szCs w:val="22"/>
              </w:rPr>
              <w:t>6、</w:t>
            </w:r>
            <w:r>
              <w:rPr>
                <w:rFonts w:hint="eastAsia"/>
                <w:sz w:val="22"/>
                <w:szCs w:val="22"/>
              </w:rPr>
              <w:t>远程连接：</w:t>
            </w:r>
          </w:p>
          <w:p>
            <w:pPr>
              <w:spacing w:after="78" w:line="360" w:lineRule="auto"/>
              <w:ind w:left="1140"/>
              <w:rPr>
                <w:rFonts w:hint="eastAsia"/>
                <w:sz w:val="22"/>
                <w:szCs w:val="22"/>
              </w:rPr>
            </w:pPr>
            <w:r>
              <w:rPr>
                <w:rFonts w:hint="eastAsia"/>
                <w:sz w:val="22"/>
                <w:szCs w:val="22"/>
              </w:rPr>
              <w:t>提供基于设备嵌入式远程连接方案的实时远程服务，提供远程连接的实物设备在科室，以保证维修的及时性，提供其介绍的资料以佐证。</w:t>
            </w:r>
          </w:p>
          <w:p>
            <w:pPr>
              <w:numPr>
                <w:ilvl w:val="0"/>
                <w:numId w:val="3"/>
              </w:numPr>
              <w:spacing w:after="78" w:afterLines="0" w:line="360" w:lineRule="auto"/>
              <w:jc w:val="left"/>
              <w:rPr>
                <w:rFonts w:hint="eastAsia"/>
                <w:sz w:val="22"/>
                <w:szCs w:val="22"/>
              </w:rPr>
            </w:pPr>
            <w:r>
              <w:rPr>
                <w:rFonts w:hint="eastAsia"/>
                <w:sz w:val="22"/>
                <w:szCs w:val="22"/>
              </w:rPr>
              <w:t>高级诊断</w:t>
            </w:r>
          </w:p>
          <w:p>
            <w:pPr>
              <w:spacing w:after="78" w:line="360" w:lineRule="auto"/>
              <w:ind w:left="1140"/>
              <w:rPr>
                <w:rFonts w:hint="eastAsia"/>
                <w:sz w:val="22"/>
                <w:szCs w:val="22"/>
              </w:rPr>
            </w:pPr>
            <w:r>
              <w:rPr>
                <w:rFonts w:hint="eastAsia"/>
                <w:sz w:val="22"/>
                <w:szCs w:val="22"/>
              </w:rPr>
              <w:t>服务商必须在整个合同期内都能合法获得原厂高级故障诊断软件的诊断维修钥匙（service key），并保证不违反国家有关知识产权的法律规定，并做出相应书面承诺。</w:t>
            </w:r>
          </w:p>
          <w:p>
            <w:pPr>
              <w:numPr>
                <w:ilvl w:val="0"/>
                <w:numId w:val="3"/>
              </w:numPr>
              <w:spacing w:after="78" w:afterLines="0" w:line="360" w:lineRule="auto"/>
              <w:jc w:val="left"/>
              <w:rPr>
                <w:rFonts w:hint="eastAsia"/>
                <w:sz w:val="22"/>
                <w:szCs w:val="22"/>
              </w:rPr>
            </w:pPr>
            <w:r>
              <w:rPr>
                <w:rFonts w:hint="eastAsia" w:ascii="宋体" w:hAnsi="宋体"/>
                <w:sz w:val="22"/>
                <w:szCs w:val="22"/>
              </w:rPr>
              <w:t>由于该机型是进口设备，</w:t>
            </w:r>
            <w:r>
              <w:rPr>
                <w:rFonts w:hint="eastAsia"/>
                <w:sz w:val="22"/>
                <w:szCs w:val="22"/>
              </w:rPr>
              <w:t>为保障备件的快速且安全的供应，供应商需有零备件保税仓库，广东省内设有备件仓库；如遇保税仓库备件无货，确保国外备件调货至场地应在7天内</w:t>
            </w:r>
          </w:p>
          <w:p>
            <w:pPr>
              <w:numPr>
                <w:ilvl w:val="0"/>
                <w:numId w:val="3"/>
              </w:numPr>
              <w:spacing w:after="78" w:afterLines="0" w:line="360" w:lineRule="auto"/>
              <w:jc w:val="left"/>
              <w:rPr>
                <w:rFonts w:hint="eastAsia"/>
                <w:sz w:val="22"/>
                <w:szCs w:val="22"/>
              </w:rPr>
            </w:pPr>
            <w:r>
              <w:rPr>
                <w:rFonts w:hint="eastAsia"/>
                <w:sz w:val="22"/>
                <w:szCs w:val="22"/>
              </w:rPr>
              <w:t>为保障更快捷更满意的服务，需在广东省设有维修站，广东省内至少有5名以上设备生产厂家培训工程师能提供相关技术支持（需提供有效期内的相应培训证明）。</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- 201</w:t>
      </w:r>
      <w:r>
        <w:rPr>
          <w:rFonts w:hint="eastAsia" w:asciiTheme="minorEastAsia" w:hAnsiTheme="minorEastAsia" w:eastAsiaTheme="minorEastAsia"/>
          <w:b/>
          <w:sz w:val="24"/>
          <w:szCs w:val="24"/>
          <w:u w:val="single"/>
          <w:lang w:val="en-US" w:eastAsia="zh-CN"/>
        </w:rPr>
        <w:t>8</w:t>
      </w:r>
      <w:r>
        <w:rPr>
          <w:rFonts w:hint="eastAsia" w:asciiTheme="minorEastAsia" w:hAnsiTheme="minorEastAsia" w:eastAsiaTheme="minorEastAsia"/>
          <w:b/>
          <w:sz w:val="24"/>
          <w:szCs w:val="24"/>
          <w:u w:val="single"/>
        </w:rPr>
        <w:t>-0</w:t>
      </w:r>
      <w:r>
        <w:rPr>
          <w:rFonts w:hint="eastAsia" w:asciiTheme="minorEastAsia" w:hAnsiTheme="minorEastAsia" w:eastAsiaTheme="minorEastAsia"/>
          <w:b/>
          <w:sz w:val="24"/>
          <w:szCs w:val="24"/>
          <w:u w:val="single"/>
          <w:lang w:val="en-US" w:eastAsia="zh-CN"/>
        </w:rPr>
        <w:t>02</w:t>
      </w:r>
      <w:bookmarkStart w:id="22" w:name="_GoBack"/>
      <w:bookmarkEnd w:id="22"/>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         </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rFonts w:hint="eastAsia"/>
          <w:color w:val="000000"/>
          <w:szCs w:val="21"/>
        </w:rPr>
      </w:pPr>
    </w:p>
    <w:tbl>
      <w:tblPr>
        <w:tblStyle w:val="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hint="eastAsia" w:asciiTheme="minorEastAsia" w:hAnsiTheme="minorEastAsia" w:eastAsiaTheme="minorEastAsia"/>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格式3. 投标分项报价表格式</w:t>
      </w:r>
    </w:p>
    <w:p>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10" w:hRule="atLeast"/>
        </w:trPr>
        <w:tc>
          <w:tcPr>
            <w:tcW w:w="13144" w:type="dxa"/>
            <w:vAlign w:val="center"/>
          </w:tcPr>
          <w:p>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pPr>
        <w:spacing w:line="20" w:lineRule="exact"/>
        <w:rPr>
          <w:color w:val="000000"/>
          <w:szCs w:val="21"/>
          <w:u w:val="single"/>
        </w:rPr>
      </w:pPr>
    </w:p>
    <w:p>
      <w:pPr>
        <w:spacing w:line="360" w:lineRule="auto"/>
        <w:rPr>
          <w:color w:val="000000"/>
          <w:szCs w:val="21"/>
          <w:u w:val="single"/>
        </w:rPr>
      </w:pPr>
    </w:p>
    <w:p>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注：1、如果分项报价与总价不一致，以总价为准。</w:t>
      </w:r>
    </w:p>
    <w:p>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6"/>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ascii="宋体" w:hAnsi="宋体"/>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bl>
    <w:p>
      <w:pPr>
        <w:spacing w:line="360" w:lineRule="auto"/>
        <w:rPr>
          <w:rFonts w:hint="eastAsia"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hint="eastAsia" w:ascii="宋体" w:hAnsi="宋体"/>
          <w:color w:val="000000"/>
          <w:szCs w:val="21"/>
        </w:rPr>
      </w:pPr>
    </w:p>
    <w:p>
      <w:pPr>
        <w:spacing w:line="300" w:lineRule="auto"/>
        <w:rPr>
          <w:rFonts w:hint="eastAsia" w:asciiTheme="minorEastAsia" w:hAnsiTheme="minorEastAsia" w:eastAsiaTheme="minorEastAsia"/>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hint="eastAsia" w:asciiTheme="minorEastAsia" w:hAnsiTheme="minorEastAsia" w:eastAsiaTheme="minorEastAsia"/>
          <w:bCs/>
          <w:sz w:val="24"/>
          <w:szCs w:val="24"/>
        </w:rPr>
      </w:pPr>
    </w:p>
    <w:p>
      <w:pPr>
        <w:spacing w:line="300" w:lineRule="auto"/>
        <w:rPr>
          <w:rFonts w:hint="eastAsia" w:asciiTheme="minorEastAsia" w:hAnsiTheme="minorEastAsia" w:eastAsiaTheme="minorEastAsia"/>
          <w:bCs/>
          <w:sz w:val="24"/>
          <w:szCs w:val="24"/>
        </w:rPr>
      </w:pPr>
    </w:p>
    <w:p>
      <w:pPr>
        <w:spacing w:line="300" w:lineRule="auto"/>
        <w:rPr>
          <w:rFonts w:hint="eastAsia" w:asciiTheme="minorEastAsia" w:hAnsiTheme="minorEastAsia" w:eastAsiaTheme="minorEastAsia"/>
          <w:bCs/>
          <w:sz w:val="24"/>
          <w:szCs w:val="24"/>
        </w:rPr>
      </w:pPr>
    </w:p>
    <w:p>
      <w:pPr>
        <w:spacing w:line="300" w:lineRule="auto"/>
        <w:rPr>
          <w:rFonts w:hint="eastAsia" w:asciiTheme="minorEastAsia" w:hAnsiTheme="minorEastAsia" w:eastAsiaTheme="minorEastAsia"/>
          <w:bCs/>
          <w:sz w:val="24"/>
          <w:szCs w:val="24"/>
        </w:rPr>
      </w:pPr>
    </w:p>
    <w:p>
      <w:pPr>
        <w:spacing w:line="300" w:lineRule="auto"/>
        <w:rPr>
          <w:rFonts w:hint="eastAsia" w:asciiTheme="minorEastAsia" w:hAnsiTheme="minorEastAsia" w:eastAsiaTheme="minorEastAsia"/>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6"/>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rFonts w:hint="eastAsia"/>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ascii="宋体" w:hAnsi="宋体"/>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tcPr>
          <w:p>
            <w:pPr>
              <w:spacing w:line="360" w:lineRule="auto"/>
              <w:rPr>
                <w:rFonts w:hint="eastAsia"/>
                <w:color w:val="000000"/>
                <w:szCs w:val="21"/>
                <w:u w:val="single"/>
              </w:rPr>
            </w:pPr>
          </w:p>
        </w:tc>
        <w:tc>
          <w:tcPr>
            <w:tcW w:w="1980" w:type="dxa"/>
          </w:tcPr>
          <w:p>
            <w:pPr>
              <w:spacing w:line="360" w:lineRule="auto"/>
              <w:rPr>
                <w:rFonts w:hint="eastAsia"/>
                <w:color w:val="000000"/>
                <w:szCs w:val="21"/>
                <w:u w:val="single"/>
              </w:rPr>
            </w:pPr>
          </w:p>
        </w:tc>
        <w:tc>
          <w:tcPr>
            <w:tcW w:w="1832" w:type="dxa"/>
          </w:tcPr>
          <w:p>
            <w:pPr>
              <w:spacing w:line="360" w:lineRule="auto"/>
              <w:rPr>
                <w:rFonts w:hint="eastAsia"/>
                <w:color w:val="000000"/>
                <w:szCs w:val="21"/>
                <w:u w:val="single"/>
              </w:rPr>
            </w:pPr>
          </w:p>
        </w:tc>
        <w:tc>
          <w:tcPr>
            <w:tcW w:w="1675" w:type="dxa"/>
          </w:tcPr>
          <w:p>
            <w:pPr>
              <w:spacing w:line="360" w:lineRule="auto"/>
              <w:rPr>
                <w:rFonts w:hint="eastAsia"/>
                <w:color w:val="000000"/>
                <w:szCs w:val="21"/>
                <w:u w:val="single"/>
              </w:rPr>
            </w:pPr>
          </w:p>
        </w:tc>
        <w:tc>
          <w:tcPr>
            <w:tcW w:w="1673" w:type="dxa"/>
          </w:tcPr>
          <w:p>
            <w:pPr>
              <w:spacing w:line="360" w:lineRule="auto"/>
              <w:rPr>
                <w:rFonts w:hint="eastAsia"/>
                <w:color w:val="000000"/>
                <w:szCs w:val="21"/>
                <w:u w:val="single"/>
              </w:rPr>
            </w:pPr>
          </w:p>
        </w:tc>
      </w:tr>
    </w:tbl>
    <w:p>
      <w:pPr>
        <w:spacing w:line="360" w:lineRule="auto"/>
        <w:rPr>
          <w:rFonts w:hint="eastAsia"/>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hint="eastAsia" w:asciiTheme="minorEastAsia" w:hAnsiTheme="minorEastAsia" w:eastAsiaTheme="minorEastAsia"/>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6"/>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785" w:type="dxa"/>
            <w:vMerge w:val="restart"/>
            <w:vAlign w:val="center"/>
          </w:tcPr>
          <w:p>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hint="eastAsia"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785" w:type="dxa"/>
            <w:vMerge w:val="continue"/>
            <w:vAlign w:val="center"/>
          </w:tcPr>
          <w:p>
            <w:pPr>
              <w:jc w:val="center"/>
              <w:rPr>
                <w:rFonts w:hint="eastAsia" w:ascii="宋体" w:hAnsi="宋体"/>
                <w:color w:val="000000"/>
                <w:szCs w:val="21"/>
              </w:rPr>
            </w:pPr>
          </w:p>
        </w:tc>
        <w:tc>
          <w:tcPr>
            <w:tcW w:w="981" w:type="dxa"/>
            <w:vMerge w:val="continue"/>
            <w:vAlign w:val="center"/>
          </w:tcPr>
          <w:p>
            <w:pPr>
              <w:jc w:val="center"/>
              <w:rPr>
                <w:rFonts w:hint="eastAsia" w:ascii="宋体" w:hAnsi="宋体"/>
                <w:color w:val="000000"/>
                <w:szCs w:val="21"/>
              </w:rPr>
            </w:pPr>
          </w:p>
        </w:tc>
        <w:tc>
          <w:tcPr>
            <w:tcW w:w="976" w:type="dxa"/>
            <w:vMerge w:val="continue"/>
            <w:vAlign w:val="center"/>
          </w:tcPr>
          <w:p>
            <w:pPr>
              <w:jc w:val="center"/>
              <w:rPr>
                <w:rFonts w:hint="eastAsia" w:ascii="宋体" w:hAnsi="宋体"/>
                <w:color w:val="000000"/>
                <w:szCs w:val="21"/>
              </w:rPr>
            </w:pPr>
          </w:p>
        </w:tc>
        <w:tc>
          <w:tcPr>
            <w:tcW w:w="1501" w:type="dxa"/>
            <w:vAlign w:val="center"/>
          </w:tcPr>
          <w:p>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5" w:type="dxa"/>
          </w:tcPr>
          <w:p>
            <w:pPr>
              <w:rPr>
                <w:rFonts w:hint="eastAsia" w:ascii="宋体" w:hAnsi="宋体"/>
                <w:color w:val="000000"/>
                <w:szCs w:val="21"/>
              </w:rPr>
            </w:pPr>
          </w:p>
        </w:tc>
        <w:tc>
          <w:tcPr>
            <w:tcW w:w="981" w:type="dxa"/>
          </w:tcPr>
          <w:p>
            <w:pPr>
              <w:rPr>
                <w:rFonts w:hint="eastAsia" w:ascii="宋体" w:hAnsi="宋体"/>
                <w:color w:val="000000"/>
                <w:szCs w:val="21"/>
              </w:rPr>
            </w:pPr>
          </w:p>
        </w:tc>
        <w:tc>
          <w:tcPr>
            <w:tcW w:w="976" w:type="dxa"/>
          </w:tcPr>
          <w:p>
            <w:pPr>
              <w:rPr>
                <w:rFonts w:hint="eastAsia" w:ascii="宋体" w:hAnsi="宋体"/>
                <w:color w:val="000000"/>
                <w:szCs w:val="21"/>
              </w:rPr>
            </w:pPr>
          </w:p>
        </w:tc>
        <w:tc>
          <w:tcPr>
            <w:tcW w:w="1501" w:type="dxa"/>
          </w:tcPr>
          <w:p>
            <w:pPr>
              <w:rPr>
                <w:rFonts w:hint="eastAsia" w:ascii="宋体" w:hAnsi="宋体"/>
                <w:color w:val="000000"/>
                <w:szCs w:val="21"/>
              </w:rPr>
            </w:pPr>
          </w:p>
        </w:tc>
        <w:tc>
          <w:tcPr>
            <w:tcW w:w="785" w:type="dxa"/>
          </w:tcPr>
          <w:p>
            <w:pPr>
              <w:rPr>
                <w:rFonts w:hint="eastAsia" w:ascii="宋体" w:hAnsi="宋体"/>
                <w:color w:val="000000"/>
                <w:szCs w:val="21"/>
              </w:rPr>
            </w:pPr>
          </w:p>
        </w:tc>
        <w:tc>
          <w:tcPr>
            <w:tcW w:w="786" w:type="dxa"/>
          </w:tcPr>
          <w:p>
            <w:pPr>
              <w:rPr>
                <w:rFonts w:hint="eastAsia" w:ascii="宋体" w:hAnsi="宋体"/>
                <w:color w:val="000000"/>
                <w:szCs w:val="21"/>
              </w:rPr>
            </w:pPr>
          </w:p>
        </w:tc>
        <w:tc>
          <w:tcPr>
            <w:tcW w:w="1187" w:type="dxa"/>
          </w:tcPr>
          <w:p>
            <w:pPr>
              <w:rPr>
                <w:rFonts w:hint="eastAsia" w:ascii="宋体" w:hAnsi="宋体"/>
                <w:color w:val="000000"/>
                <w:szCs w:val="21"/>
              </w:rPr>
            </w:pPr>
          </w:p>
        </w:tc>
        <w:tc>
          <w:tcPr>
            <w:tcW w:w="1528" w:type="dxa"/>
          </w:tcPr>
          <w:p>
            <w:pP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5" w:type="dxa"/>
          </w:tcPr>
          <w:p>
            <w:pPr>
              <w:rPr>
                <w:rFonts w:hint="eastAsia" w:ascii="宋体" w:hAnsi="宋体"/>
                <w:color w:val="000000"/>
                <w:szCs w:val="21"/>
              </w:rPr>
            </w:pPr>
          </w:p>
        </w:tc>
        <w:tc>
          <w:tcPr>
            <w:tcW w:w="981" w:type="dxa"/>
          </w:tcPr>
          <w:p>
            <w:pPr>
              <w:rPr>
                <w:rFonts w:hint="eastAsia" w:ascii="宋体" w:hAnsi="宋体"/>
                <w:color w:val="000000"/>
                <w:szCs w:val="21"/>
              </w:rPr>
            </w:pPr>
          </w:p>
        </w:tc>
        <w:tc>
          <w:tcPr>
            <w:tcW w:w="976" w:type="dxa"/>
          </w:tcPr>
          <w:p>
            <w:pPr>
              <w:rPr>
                <w:rFonts w:hint="eastAsia" w:ascii="宋体" w:hAnsi="宋体"/>
                <w:color w:val="000000"/>
                <w:szCs w:val="21"/>
              </w:rPr>
            </w:pPr>
          </w:p>
        </w:tc>
        <w:tc>
          <w:tcPr>
            <w:tcW w:w="1501" w:type="dxa"/>
          </w:tcPr>
          <w:p>
            <w:pPr>
              <w:rPr>
                <w:rFonts w:hint="eastAsia" w:ascii="宋体" w:hAnsi="宋体"/>
                <w:color w:val="000000"/>
                <w:szCs w:val="21"/>
              </w:rPr>
            </w:pPr>
          </w:p>
        </w:tc>
        <w:tc>
          <w:tcPr>
            <w:tcW w:w="785" w:type="dxa"/>
          </w:tcPr>
          <w:p>
            <w:pPr>
              <w:rPr>
                <w:rFonts w:hint="eastAsia" w:ascii="宋体" w:hAnsi="宋体"/>
                <w:color w:val="000000"/>
                <w:szCs w:val="21"/>
              </w:rPr>
            </w:pPr>
          </w:p>
        </w:tc>
        <w:tc>
          <w:tcPr>
            <w:tcW w:w="786" w:type="dxa"/>
          </w:tcPr>
          <w:p>
            <w:pPr>
              <w:rPr>
                <w:rFonts w:hint="eastAsia" w:ascii="宋体" w:hAnsi="宋体"/>
                <w:color w:val="000000"/>
                <w:szCs w:val="21"/>
              </w:rPr>
            </w:pPr>
          </w:p>
        </w:tc>
        <w:tc>
          <w:tcPr>
            <w:tcW w:w="1187" w:type="dxa"/>
          </w:tcPr>
          <w:p>
            <w:pPr>
              <w:rPr>
                <w:rFonts w:hint="eastAsia" w:ascii="宋体" w:hAnsi="宋体"/>
                <w:color w:val="000000"/>
                <w:szCs w:val="21"/>
              </w:rPr>
            </w:pPr>
          </w:p>
        </w:tc>
        <w:tc>
          <w:tcPr>
            <w:tcW w:w="1528" w:type="dxa"/>
          </w:tcPr>
          <w:p>
            <w:pPr>
              <w:rPr>
                <w:rFonts w:hint="eastAsia" w:ascii="宋体" w:hAnsi="宋体"/>
                <w:color w:val="000000"/>
                <w:szCs w:val="21"/>
              </w:rPr>
            </w:pPr>
          </w:p>
        </w:tc>
      </w:tr>
    </w:tbl>
    <w:p>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619"/>
      <w:bookmarkStart w:id="11" w:name="_Toc73521707"/>
      <w:bookmarkStart w:id="12" w:name="_Toc101074904"/>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6"/>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34" w:type="dxa"/>
            <w:vAlign w:val="center"/>
          </w:tcPr>
          <w:p>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hint="eastAsia" w:ascii="宋体" w:hAnsi="宋体"/>
                <w:color w:val="000000"/>
                <w:szCs w:val="21"/>
              </w:rPr>
            </w:pPr>
          </w:p>
        </w:tc>
        <w:tc>
          <w:tcPr>
            <w:tcW w:w="972" w:type="dxa"/>
            <w:vAlign w:val="center"/>
          </w:tcPr>
          <w:p>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hint="eastAsia" w:ascii="宋体" w:hAnsi="宋体"/>
                <w:color w:val="000000"/>
                <w:szCs w:val="21"/>
              </w:rPr>
            </w:pPr>
          </w:p>
        </w:tc>
        <w:tc>
          <w:tcPr>
            <w:tcW w:w="1007" w:type="dxa"/>
            <w:gridSpan w:val="2"/>
            <w:vAlign w:val="center"/>
          </w:tcPr>
          <w:p>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hint="eastAsia"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hint="eastAsia"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60" w:type="dxa"/>
            <w:gridSpan w:val="2"/>
            <w:vAlign w:val="center"/>
          </w:tcPr>
          <w:p>
            <w:pPr>
              <w:rPr>
                <w:rFonts w:hint="eastAsia" w:ascii="宋体" w:hAnsi="宋体"/>
                <w:color w:val="000000"/>
                <w:szCs w:val="21"/>
              </w:rPr>
            </w:pPr>
          </w:p>
        </w:tc>
        <w:tc>
          <w:tcPr>
            <w:tcW w:w="1622" w:type="dxa"/>
            <w:gridSpan w:val="2"/>
            <w:vAlign w:val="center"/>
          </w:tcPr>
          <w:p>
            <w:pPr>
              <w:rPr>
                <w:rFonts w:hint="eastAsia" w:ascii="宋体" w:hAnsi="宋体"/>
                <w:color w:val="000000"/>
                <w:szCs w:val="21"/>
              </w:rPr>
            </w:pPr>
          </w:p>
        </w:tc>
        <w:tc>
          <w:tcPr>
            <w:tcW w:w="1326" w:type="dxa"/>
            <w:gridSpan w:val="3"/>
            <w:vAlign w:val="center"/>
          </w:tcPr>
          <w:p>
            <w:pPr>
              <w:rPr>
                <w:rFonts w:hint="eastAsia" w:ascii="宋体" w:hAnsi="宋体"/>
                <w:color w:val="000000"/>
                <w:szCs w:val="21"/>
              </w:rPr>
            </w:pPr>
          </w:p>
        </w:tc>
        <w:tc>
          <w:tcPr>
            <w:tcW w:w="1592" w:type="dxa"/>
            <w:gridSpan w:val="2"/>
            <w:vAlign w:val="center"/>
          </w:tcPr>
          <w:p>
            <w:pPr>
              <w:rPr>
                <w:rFonts w:hint="eastAsia" w:ascii="宋体" w:hAnsi="宋体"/>
                <w:color w:val="000000"/>
                <w:szCs w:val="21"/>
              </w:rPr>
            </w:pPr>
          </w:p>
        </w:tc>
        <w:tc>
          <w:tcPr>
            <w:tcW w:w="1461" w:type="dxa"/>
            <w:gridSpan w:val="2"/>
            <w:vAlign w:val="center"/>
          </w:tcPr>
          <w:p>
            <w:pPr>
              <w:rPr>
                <w:rFonts w:hint="eastAsia" w:ascii="宋体" w:hAnsi="宋体"/>
                <w:color w:val="000000"/>
                <w:szCs w:val="21"/>
              </w:rPr>
            </w:pPr>
          </w:p>
        </w:tc>
        <w:tc>
          <w:tcPr>
            <w:tcW w:w="1068" w:type="dxa"/>
            <w:vAlign w:val="center"/>
          </w:tcPr>
          <w:p>
            <w:pPr>
              <w:rPr>
                <w:rFonts w:hint="eastAsia"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708"/>
      <w:bookmarkStart w:id="14" w:name="_Toc73521620"/>
      <w:bookmarkStart w:id="15" w:name="_Toc101074905"/>
      <w:bookmarkStart w:id="16" w:name="_Toc10005247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42861"/>
      <w:bookmarkStart w:id="18" w:name="_Toc201743116"/>
      <w:bookmarkStart w:id="19" w:name="_Toc201719118"/>
      <w:bookmarkStart w:id="20" w:name="_Toc201401658"/>
      <w:bookmarkStart w:id="21" w:name="_Toc201997946"/>
    </w:p>
    <w:p>
      <w:pPr>
        <w:spacing w:line="300" w:lineRule="auto"/>
        <w:rPr>
          <w:rFonts w:hint="eastAsia"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Theme="minorEastAsia" w:hAnsiTheme="minorEastAsia" w:eastAsiaTheme="minorEastAsia"/>
          <w:bCs/>
          <w:sz w:val="24"/>
          <w:szCs w:val="24"/>
        </w:rPr>
      </w:pPr>
      <w:r>
        <w:rPr>
          <w:rFonts w:hint="eastAsia" w:asciiTheme="minorEastAsia" w:hAnsiTheme="minorEastAsia" w:eastAsiaTheme="minorEastAsia"/>
          <w:b/>
          <w:sz w:val="24"/>
          <w:szCs w:val="24"/>
        </w:rPr>
        <w:t>法定代表人授权委托书</w:t>
      </w:r>
    </w:p>
    <w:p>
      <w:pPr>
        <w:spacing w:line="400" w:lineRule="exact"/>
        <w:jc w:val="left"/>
        <w:rPr>
          <w:rFonts w:cs="Courier New" w:asciiTheme="minorEastAsia" w:hAnsiTheme="minorEastAsia" w:eastAsiaTheme="minorEastAsia"/>
          <w:b/>
          <w:sz w:val="24"/>
          <w:szCs w:val="24"/>
        </w:rPr>
      </w:pPr>
      <w:r>
        <w:rPr>
          <w:rFonts w:hint="eastAsia" w:cs="Courier New"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GQB37XAAAACgEA&#10;AA8AAAAAAAAAAQAgAAAAIgAAAGRycy9kb3ducmV2LnhtbFBLAQIUABQAAAAIAIdO4kDc0PFzGwIA&#10;AC0EAAAOAAAAAAAAAAEAIAAAACYBAABkcnMvZTJvRG9jLnhtbFBLBQYAAAAABgAGAFkBAACzBQAA&#10;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cLUTHaAAAA&#10;CwEAAA8AAAAAAAAAAQAgAAAAIgAAAGRycy9kb3ducmV2LnhtbFBLAQIUABQAAAAIAIdO4kB/mGjQ&#10;GwIAAC0EAAAOAAAAAAAAAAEAIAAAACkBAABkcnMvZTJvRG9jLnhtbFBLBQYAAAAABgAGAFkBAAC2&#10;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noYEdkA&#10;AAAKAQAADwAAAAAAAAABACAAAAAiAAAAZHJzL2Rvd25yZXYueG1sUEsBAhQAFAAAAAgAh07iQCJ+&#10;2MoeAgAALQQAAA4AAAAAAAAAAQAgAAAAKAEAAGRycy9lMm9Eb2MueG1sUEsFBgAAAAAGAAYAWQEA&#10;ALg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OqqKR1wAAAAkB&#10;AAAPAAAAAAAAAAEAIAAAACIAAABkcnMvZG93bnJldi54bWxQSwECFAAUAAAACACHTuJAteDghhwC&#10;AAAtBAAADgAAAAAAAAABACAAAAAmAQAAZHJzL2Uyb0RvYy54bWxQSwUGAAAAAAYABgBZAQAAtAUA&#10;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17"/>
    <w:bookmarkEnd w:id="18"/>
    <w:bookmarkEnd w:id="19"/>
    <w:bookmarkEnd w:id="20"/>
    <w:bookmarkEnd w:id="21"/>
    <w:p>
      <w:pP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格式8：诚信承诺函</w:t>
      </w:r>
    </w:p>
    <w:p>
      <w:pPr>
        <w:jc w:val="center"/>
        <w:rPr>
          <w:rFonts w:asciiTheme="minorEastAsia" w:hAnsiTheme="minorEastAsia" w:eastAsiaTheme="minorEastAsia"/>
          <w:b/>
          <w:sz w:val="24"/>
          <w:szCs w:val="24"/>
        </w:rPr>
      </w:pPr>
      <w:r>
        <w:rPr>
          <w:rFonts w:hint="eastAsia" w:asciiTheme="minorEastAsia" w:hAnsiTheme="minorEastAsia" w:eastAsiaTheme="minorEastAsia"/>
          <w:b/>
          <w:bCs/>
          <w:sz w:val="24"/>
          <w:szCs w:val="24"/>
        </w:rPr>
        <w:t>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投标人代表（签字）：</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60" w:lineRule="auto"/>
        <w:jc w:val="left"/>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p>
    <w:p>
      <w:pPr>
        <w:tabs>
          <w:tab w:val="left" w:pos="1114"/>
        </w:tabs>
        <w:rPr>
          <w:rFonts w:asciiTheme="minorEastAsia" w:hAnsiTheme="minorEastAsia"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DotumChe">
    <w:panose1 w:val="020B0609000101010101"/>
    <w:charset w:val="81"/>
    <w:family w:val="swiss"/>
    <w:pitch w:val="default"/>
    <w:sig w:usb0="B00002AF" w:usb1="69D77CFB" w:usb2="00000030" w:usb3="00000000" w:csb0="4008009F" w:csb1="DFD70000"/>
  </w:font>
  <w:font w:name="华文宋体">
    <w:altName w:val="宋体"/>
    <w:panose1 w:val="02010600040000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Batang">
    <w:panose1 w:val="02030600000101010101"/>
    <w:charset w:val="81"/>
    <w:family w:val="roman"/>
    <w:pitch w:val="default"/>
    <w:sig w:usb0="B00002AF" w:usb1="69D77CFB" w:usb2="00000030" w:usb3="00000000" w:csb0="4008009F" w:csb1="DFD70000"/>
  </w:font>
  <w:font w:name="Helvetica Neue">
    <w:altName w:val="Times New Roman"/>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278" w:y="-31"/>
      <w:rPr>
        <w:rStyle w:val="5"/>
      </w:rPr>
    </w:pPr>
    <w:r>
      <w:fldChar w:fldCharType="begin"/>
    </w:r>
    <w:r>
      <w:rPr>
        <w:rStyle w:val="5"/>
      </w:rPr>
      <w:instrText xml:space="preserve">PAGE  </w:instrText>
    </w:r>
    <w:r>
      <w:fldChar w:fldCharType="separate"/>
    </w:r>
    <w:r>
      <w:rPr>
        <w:rStyle w:val="5"/>
      </w:rPr>
      <w:t>13</w:t>
    </w:r>
    <w:r>
      <w:fldChar w:fldCharType="end"/>
    </w:r>
  </w:p>
  <w:p>
    <w:pPr>
      <w:pStyle w:val="2"/>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47462F"/>
    <w:multiLevelType w:val="multilevel"/>
    <w:tmpl w:val="2947462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1456E46"/>
    <w:multiLevelType w:val="multilevel"/>
    <w:tmpl w:val="61456E46"/>
    <w:lvl w:ilvl="0" w:tentative="0">
      <w:start w:val="1"/>
      <w:numFmt w:val="bullet"/>
      <w:lvlText w:val=""/>
      <w:lvlJc w:val="left"/>
      <w:pPr>
        <w:ind w:left="1353" w:hanging="360"/>
      </w:pPr>
      <w:rPr>
        <w:rFonts w:hint="default" w:ascii="Symbol" w:hAnsi="Symbol"/>
      </w:rPr>
    </w:lvl>
    <w:lvl w:ilvl="1" w:tentative="0">
      <w:start w:val="1"/>
      <w:numFmt w:val="bullet"/>
      <w:lvlText w:val="o"/>
      <w:lvlJc w:val="left"/>
      <w:pPr>
        <w:ind w:left="2073" w:hanging="360"/>
      </w:pPr>
      <w:rPr>
        <w:rFonts w:hint="default" w:ascii="Courier New" w:hAnsi="Courier New" w:cs="Courier New"/>
      </w:rPr>
    </w:lvl>
    <w:lvl w:ilvl="2" w:tentative="0">
      <w:start w:val="1"/>
      <w:numFmt w:val="bullet"/>
      <w:lvlText w:val=""/>
      <w:lvlJc w:val="left"/>
      <w:pPr>
        <w:ind w:left="2793" w:hanging="360"/>
      </w:pPr>
      <w:rPr>
        <w:rFonts w:hint="default" w:ascii="Wingdings" w:hAnsi="Wingdings"/>
      </w:rPr>
    </w:lvl>
    <w:lvl w:ilvl="3" w:tentative="0">
      <w:start w:val="1"/>
      <w:numFmt w:val="bullet"/>
      <w:lvlText w:val=""/>
      <w:lvlJc w:val="left"/>
      <w:pPr>
        <w:ind w:left="3513" w:hanging="360"/>
      </w:pPr>
      <w:rPr>
        <w:rFonts w:hint="default" w:ascii="Symbol" w:hAnsi="Symbol"/>
      </w:rPr>
    </w:lvl>
    <w:lvl w:ilvl="4" w:tentative="0">
      <w:start w:val="1"/>
      <w:numFmt w:val="bullet"/>
      <w:lvlText w:val="o"/>
      <w:lvlJc w:val="left"/>
      <w:pPr>
        <w:ind w:left="4233" w:hanging="360"/>
      </w:pPr>
      <w:rPr>
        <w:rFonts w:hint="default" w:ascii="Courier New" w:hAnsi="Courier New" w:cs="Courier New"/>
      </w:rPr>
    </w:lvl>
    <w:lvl w:ilvl="5" w:tentative="0">
      <w:start w:val="1"/>
      <w:numFmt w:val="bullet"/>
      <w:lvlText w:val=""/>
      <w:lvlJc w:val="left"/>
      <w:pPr>
        <w:ind w:left="4953" w:hanging="360"/>
      </w:pPr>
      <w:rPr>
        <w:rFonts w:hint="default" w:ascii="Wingdings" w:hAnsi="Wingdings"/>
      </w:rPr>
    </w:lvl>
    <w:lvl w:ilvl="6" w:tentative="0">
      <w:start w:val="1"/>
      <w:numFmt w:val="bullet"/>
      <w:lvlText w:val=""/>
      <w:lvlJc w:val="left"/>
      <w:pPr>
        <w:ind w:left="5673" w:hanging="360"/>
      </w:pPr>
      <w:rPr>
        <w:rFonts w:hint="default" w:ascii="Symbol" w:hAnsi="Symbol"/>
      </w:rPr>
    </w:lvl>
    <w:lvl w:ilvl="7" w:tentative="0">
      <w:start w:val="1"/>
      <w:numFmt w:val="bullet"/>
      <w:lvlText w:val="o"/>
      <w:lvlJc w:val="left"/>
      <w:pPr>
        <w:ind w:left="6393" w:hanging="360"/>
      </w:pPr>
      <w:rPr>
        <w:rFonts w:hint="default" w:ascii="Courier New" w:hAnsi="Courier New" w:cs="Courier New"/>
      </w:rPr>
    </w:lvl>
    <w:lvl w:ilvl="8" w:tentative="0">
      <w:start w:val="1"/>
      <w:numFmt w:val="bullet"/>
      <w:lvlText w:val=""/>
      <w:lvlJc w:val="left"/>
      <w:pPr>
        <w:ind w:left="7113" w:hanging="360"/>
      </w:pPr>
      <w:rPr>
        <w:rFonts w:hint="default" w:ascii="Wingdings" w:hAnsi="Wingdings"/>
      </w:rPr>
    </w:lvl>
  </w:abstractNum>
  <w:abstractNum w:abstractNumId="3">
    <w:nsid w:val="62E93FD9"/>
    <w:multiLevelType w:val="multilevel"/>
    <w:tmpl w:val="62E93FD9"/>
    <w:lvl w:ilvl="0" w:tentative="0">
      <w:start w:val="7"/>
      <w:numFmt w:val="decimal"/>
      <w:lvlText w:val="%1、"/>
      <w:lvlJc w:val="left"/>
      <w:pPr>
        <w:ind w:left="1140" w:hanging="360"/>
      </w:pPr>
      <w:rPr>
        <w:rFonts w:hint="default"/>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D2"/>
    <w:rsid w:val="00170AB0"/>
    <w:rsid w:val="00217FFD"/>
    <w:rsid w:val="008714EE"/>
    <w:rsid w:val="00AB2F3C"/>
    <w:rsid w:val="00BB76F4"/>
    <w:rsid w:val="00D90E77"/>
    <w:rsid w:val="00DA04D2"/>
    <w:rsid w:val="13E40294"/>
    <w:rsid w:val="37A94D12"/>
    <w:rsid w:val="3DAF0E14"/>
    <w:rsid w:val="4E53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qFormat/>
    <w:uiPriority w:val="0"/>
  </w:style>
  <w:style w:type="character" w:customStyle="1" w:styleId="7">
    <w:name w:val="页脚 Char"/>
    <w:basedOn w:val="4"/>
    <w:link w:val="2"/>
    <w:qFormat/>
    <w:uiPriority w:val="99"/>
    <w:rPr>
      <w:rFonts w:ascii="Times New Roman" w:hAnsi="Times New Roman" w:eastAsia="宋体" w:cs="Times New Roman"/>
      <w:sz w:val="18"/>
      <w:szCs w:val="18"/>
    </w:rPr>
  </w:style>
  <w:style w:type="paragraph" w:customStyle="1" w:styleId="8">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9">
    <w:name w:val="页眉 Char"/>
    <w:basedOn w:val="4"/>
    <w:link w:val="3"/>
    <w:qFormat/>
    <w:uiPriority w:val="99"/>
    <w:rPr>
      <w:rFonts w:ascii="Times New Roman" w:hAnsi="Times New Roman" w:eastAsia="宋体" w:cs="Times New Roman"/>
      <w:sz w:val="18"/>
      <w:szCs w:val="18"/>
    </w:rPr>
  </w:style>
  <w:style w:type="paragraph" w:customStyle="1" w:styleId="10">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1">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889</Words>
  <Characters>5068</Characters>
  <Lines>42</Lines>
  <Paragraphs>11</Paragraphs>
  <ScaleCrop>false</ScaleCrop>
  <LinksUpToDate>false</LinksUpToDate>
  <CharactersWithSpaces>5946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2017-06-12T02:35:00Z</dcterms:created>
  <dc:creator>Windows 用户</dc:creator>
  <cp:lastModifiedBy>Administrator</cp:lastModifiedBy>
  <dcterms:modified xsi:type="dcterms:W3CDTF">2018-01-10T01:31:51Z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