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asciiTheme="minorEastAsia" w:hAnsiTheme="minorEastAsia" w:eastAsiaTheme="minorEastAsia"/>
          <w:b/>
          <w:sz w:val="24"/>
          <w:szCs w:val="24"/>
        </w:rPr>
      </w:pPr>
    </w:p>
    <w:p>
      <w:pPr>
        <w:ind w:left="420" w:firstLine="240" w:firstLineChars="100"/>
        <w:rPr>
          <w:rFonts w:cs="宋体" w:asciiTheme="minorEastAsia" w:hAnsiTheme="minorEastAsia" w:eastAsiaTheme="minorEastAsia"/>
          <w:color w:val="FF0000"/>
          <w:kern w:val="0"/>
          <w:sz w:val="24"/>
          <w:szCs w:val="24"/>
        </w:rPr>
      </w:pPr>
      <w:r>
        <w:rPr>
          <w:rFonts w:hint="eastAsia" w:asciiTheme="minorEastAsia" w:hAnsiTheme="minorEastAsia" w:eastAsiaTheme="minorEastAsia"/>
          <w:sz w:val="24"/>
          <w:szCs w:val="24"/>
        </w:rPr>
        <w:t>价格分计算：价格分=[1-（投标报价-最低价）/最低价]×价格分权重。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当价格分&lt;0时，取0。</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最低价是指所有有效报价中最低的投标报价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0"/>
        <w:tblW w:w="8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评分项</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技术响应情况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投标人应如实填写《技术规格偏离表》，评审委员会根据技术需求参数响应情况进行打分，各项技术参数指标及要求全部满足的得45分，带“</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”为重要参数，每负偏离一项扣10分，其他参数</w:t>
            </w:r>
            <w:r>
              <w:rPr>
                <w:rFonts w:hint="eastAsia" w:cs="宋体" w:asciiTheme="minorEastAsia" w:hAnsiTheme="minorEastAsia" w:eastAsiaTheme="minorEastAsia"/>
                <w:sz w:val="24"/>
                <w:szCs w:val="24"/>
                <w:lang w:eastAsia="zh-CN"/>
              </w:rPr>
              <w:t>（每个最小排号的参数）</w:t>
            </w:r>
            <w:r>
              <w:rPr>
                <w:rFonts w:hint="eastAsia" w:cs="宋体" w:asciiTheme="minorEastAsia" w:hAnsiTheme="minorEastAsia" w:eastAsiaTheme="minorEastAsia"/>
                <w:sz w:val="24"/>
                <w:szCs w:val="24"/>
              </w:rPr>
              <w:t>每负偏离一项扣</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分，扣完为止。正偏离不加分。（重要参数不能超过参数总项的10%）</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注：</w:t>
            </w:r>
            <w:r>
              <w:rPr>
                <w:rFonts w:cs="宋体" w:asciiTheme="minorEastAsia" w:hAnsiTheme="minorEastAsia" w:eastAsiaTheme="minorEastAsia"/>
                <w:kern w:val="0"/>
                <w:sz w:val="24"/>
                <w:szCs w:val="24"/>
              </w:rPr>
              <w:t>对带三角号（</w:t>
            </w:r>
            <w:r>
              <w:rPr>
                <w:rFonts w:hint="eastAsia" w:cs="宋体" w:asciiTheme="minorEastAsia" w:hAnsiTheme="minorEastAsia" w:eastAsiaTheme="minorEastAsia"/>
                <w:sz w:val="24"/>
                <w:szCs w:val="24"/>
              </w:rPr>
              <w:t>“</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w:t>
            </w:r>
            <w:r>
              <w:rPr>
                <w:rFonts w:cs="宋体" w:asciiTheme="minorEastAsia" w:hAnsiTheme="minorEastAsia" w:eastAsiaTheme="minorEastAsia"/>
                <w:kern w:val="0"/>
                <w:sz w:val="24"/>
                <w:szCs w:val="24"/>
              </w:rPr>
              <w:t>）的重要技术参数投标人必须提供相关证明材料（技术白皮书、彩页、产品说明书或检测报告等），否则按负偏离进行扣分。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6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技术保障措施</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7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专家打分</w:t>
            </w:r>
          </w:p>
        </w:tc>
        <w:tc>
          <w:tcPr>
            <w:tcW w:w="4394" w:type="dxa"/>
            <w:vAlign w:val="center"/>
          </w:tcPr>
          <w:p>
            <w:pPr>
              <w:spacing w:line="280" w:lineRule="exac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45"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免费保修期内售后服务条款偏离情况</w:t>
            </w:r>
          </w:p>
        </w:tc>
        <w:tc>
          <w:tcPr>
            <w:tcW w:w="760" w:type="dxa"/>
            <w:gridSpan w:val="2"/>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(1)投标人应如实填写《免费保修期内售后服务条款偏离表》，评审委员会根据响应情况进行打分。满足免费保修期的得2分。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(2)其他要求全部满足要求的得2分，每负偏离一项扣1分。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45"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免费保修期外售后服务条款偏离情况</w:t>
            </w:r>
          </w:p>
        </w:tc>
        <w:tc>
          <w:tcPr>
            <w:tcW w:w="760" w:type="dxa"/>
            <w:gridSpan w:val="2"/>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8</w:t>
            </w:r>
          </w:p>
        </w:tc>
        <w:tc>
          <w:tcPr>
            <w:tcW w:w="709"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投标人应如实填写《免费保修期外售后服务条款偏离表》，评审委员会根据响应情况进行打分，每负偏离一项扣2分，扣完为止。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245"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其他商务要求偏离情况</w:t>
            </w:r>
          </w:p>
        </w:tc>
        <w:tc>
          <w:tcPr>
            <w:tcW w:w="760" w:type="dxa"/>
            <w:gridSpan w:val="2"/>
            <w:shd w:val="clear" w:color="auto" w:fill="auto"/>
            <w:vAlign w:val="center"/>
          </w:tcPr>
          <w:p>
            <w:pPr>
              <w:spacing w:line="2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709"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投标人应如实填写《其他商务条款偏离表》，评审委员会根据响应情况进行打分，</w:t>
            </w:r>
            <w:r>
              <w:rPr>
                <w:rFonts w:hint="eastAsia" w:asciiTheme="minorEastAsia" w:hAnsiTheme="minorEastAsia" w:eastAsiaTheme="minorEastAsia"/>
                <w:sz w:val="24"/>
                <w:szCs w:val="24"/>
              </w:rPr>
              <w:t>全部满足要求的得4分，每负偏离一项扣2分,</w:t>
            </w:r>
            <w:r>
              <w:rPr>
                <w:rFonts w:hint="eastAsia" w:cs="宋体" w:asciiTheme="minorEastAsia" w:hAnsiTheme="minorEastAsia" w:eastAsiaTheme="minorEastAsia"/>
                <w:sz w:val="24"/>
                <w:szCs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7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评审标准：依据深财购[2013]27号文的有关规定，本项目将对投标人诚信进行评审：</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（1）投标人不存在不诚信情况且按照要求提供承诺函的，得5分。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（2）投标人存在不诚信情况或未按规定提供承诺函的，得0分。</w:t>
            </w: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注：1、每项得分均不能超过该项最高分值，得分精确至小数点后两位。</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2、缺项或不合格，则该项为0分。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3、重要参数不得超过技术参数总数的10%。</w:t>
      </w:r>
    </w:p>
    <w:p>
      <w:pPr>
        <w:spacing w:line="360" w:lineRule="auto"/>
        <w:jc w:val="center"/>
        <w:rPr>
          <w:rFonts w:asciiTheme="minorEastAsia" w:hAnsiTheme="minorEastAsia" w:eastAsiaTheme="minorEastAsia"/>
          <w:b/>
          <w:sz w:val="24"/>
          <w:szCs w:val="24"/>
        </w:rPr>
      </w:pPr>
      <w:r>
        <w:rPr>
          <w:rFonts w:asciiTheme="minorEastAsia" w:hAnsiTheme="minorEastAsia" w:eastAsiaTheme="minorEastAsia"/>
          <w:bCs/>
          <w:sz w:val="24"/>
          <w:szCs w:val="24"/>
        </w:rPr>
        <w:br w:type="page"/>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8</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03</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    </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0"/>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401658"/>
      <w:bookmarkStart w:id="4" w:name="_Toc201997946"/>
      <w:bookmarkStart w:id="5" w:name="_Toc20174311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5"/>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1"/>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1"/>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1"/>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1"/>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0"/>
        <w:tblW w:w="8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4"/>
        <w:jc w:val="left"/>
        <w:rPr>
          <w:rFonts w:asciiTheme="minorEastAsia" w:hAnsiTheme="minorEastAsia" w:eastAsiaTheme="minorEastAsia"/>
          <w:sz w:val="24"/>
          <w:szCs w:val="24"/>
        </w:rPr>
      </w:pPr>
    </w:p>
    <w:tbl>
      <w:tblPr>
        <w:tblStyle w:val="10"/>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4"/>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0"/>
        <w:tblW w:w="9578" w:type="dxa"/>
        <w:jc w:val="center"/>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15"/>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0"/>
        <w:tblW w:w="7382"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0"/>
        <w:tblW w:w="7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15"/>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5"/>
        <w:jc w:val="left"/>
        <w:rPr>
          <w:rFonts w:asciiTheme="minorEastAsia" w:hAnsiTheme="minorEastAsia" w:eastAsiaTheme="minorEastAsia"/>
          <w:sz w:val="24"/>
          <w:szCs w:val="24"/>
        </w:rPr>
      </w:pPr>
    </w:p>
    <w:tbl>
      <w:tblPr>
        <w:tblStyle w:val="10"/>
        <w:tblW w:w="8255" w:type="dxa"/>
        <w:jc w:val="center"/>
        <w:tblInd w:w="-2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897" w:type="dxa"/>
            <w:vAlign w:val="center"/>
          </w:tcPr>
          <w:p>
            <w:pPr>
              <w:pStyle w:val="5"/>
              <w:rPr>
                <w:rFonts w:asciiTheme="minorEastAsia" w:hAnsiTheme="minorEastAsia" w:eastAsiaTheme="minorEastAsia"/>
                <w:sz w:val="24"/>
                <w:szCs w:val="24"/>
              </w:rPr>
            </w:pPr>
          </w:p>
        </w:tc>
        <w:tc>
          <w:tcPr>
            <w:tcW w:w="3290" w:type="dxa"/>
            <w:vAlign w:val="center"/>
          </w:tcPr>
          <w:p>
            <w:pPr>
              <w:pStyle w:val="5"/>
              <w:rPr>
                <w:rFonts w:asciiTheme="minorEastAsia" w:hAnsiTheme="minorEastAsia" w:eastAsiaTheme="minorEastAsia"/>
                <w:sz w:val="24"/>
                <w:szCs w:val="24"/>
              </w:rPr>
            </w:pPr>
          </w:p>
        </w:tc>
        <w:tc>
          <w:tcPr>
            <w:tcW w:w="1376" w:type="dxa"/>
            <w:vAlign w:val="center"/>
          </w:tcPr>
          <w:p>
            <w:pPr>
              <w:pStyle w:val="5"/>
              <w:rPr>
                <w:rFonts w:asciiTheme="minorEastAsia" w:hAnsiTheme="minorEastAsia" w:eastAsiaTheme="minorEastAsia"/>
                <w:sz w:val="24"/>
                <w:szCs w:val="24"/>
              </w:rPr>
            </w:pPr>
          </w:p>
        </w:tc>
        <w:tc>
          <w:tcPr>
            <w:tcW w:w="698" w:type="dxa"/>
            <w:vAlign w:val="center"/>
          </w:tcPr>
          <w:p>
            <w:pPr>
              <w:pStyle w:val="5"/>
              <w:jc w:val="left"/>
              <w:rPr>
                <w:rFonts w:asciiTheme="minorEastAsia" w:hAnsiTheme="minorEastAsia" w:eastAsiaTheme="minorEastAsia"/>
                <w:sz w:val="24"/>
                <w:szCs w:val="24"/>
              </w:rPr>
            </w:pPr>
          </w:p>
        </w:tc>
        <w:tc>
          <w:tcPr>
            <w:tcW w:w="1994" w:type="dxa"/>
            <w:vAlign w:val="center"/>
          </w:tcPr>
          <w:p>
            <w:pPr>
              <w:pStyle w:val="5"/>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897" w:type="dxa"/>
            <w:vAlign w:val="center"/>
          </w:tcPr>
          <w:p>
            <w:pPr>
              <w:pStyle w:val="5"/>
              <w:rPr>
                <w:rFonts w:asciiTheme="minorEastAsia" w:hAnsiTheme="minorEastAsia" w:eastAsiaTheme="minorEastAsia"/>
                <w:sz w:val="24"/>
                <w:szCs w:val="24"/>
              </w:rPr>
            </w:pPr>
          </w:p>
        </w:tc>
        <w:tc>
          <w:tcPr>
            <w:tcW w:w="3290" w:type="dxa"/>
            <w:vAlign w:val="center"/>
          </w:tcPr>
          <w:p>
            <w:pPr>
              <w:pStyle w:val="5"/>
              <w:rPr>
                <w:rFonts w:asciiTheme="minorEastAsia" w:hAnsiTheme="minorEastAsia" w:eastAsiaTheme="minorEastAsia"/>
                <w:sz w:val="24"/>
                <w:szCs w:val="24"/>
              </w:rPr>
            </w:pPr>
          </w:p>
        </w:tc>
        <w:tc>
          <w:tcPr>
            <w:tcW w:w="1376" w:type="dxa"/>
            <w:vAlign w:val="center"/>
          </w:tcPr>
          <w:p>
            <w:pPr>
              <w:pStyle w:val="5"/>
              <w:rPr>
                <w:rFonts w:asciiTheme="minorEastAsia" w:hAnsiTheme="minorEastAsia" w:eastAsiaTheme="minorEastAsia"/>
                <w:sz w:val="24"/>
                <w:szCs w:val="24"/>
              </w:rPr>
            </w:pPr>
          </w:p>
        </w:tc>
        <w:tc>
          <w:tcPr>
            <w:tcW w:w="698" w:type="dxa"/>
            <w:vAlign w:val="center"/>
          </w:tcPr>
          <w:p>
            <w:pPr>
              <w:pStyle w:val="5"/>
              <w:jc w:val="left"/>
              <w:rPr>
                <w:rFonts w:asciiTheme="minorEastAsia" w:hAnsiTheme="minorEastAsia" w:eastAsiaTheme="minorEastAsia"/>
                <w:sz w:val="24"/>
                <w:szCs w:val="24"/>
              </w:rPr>
            </w:pPr>
          </w:p>
        </w:tc>
        <w:tc>
          <w:tcPr>
            <w:tcW w:w="1994" w:type="dxa"/>
            <w:vAlign w:val="center"/>
          </w:tcPr>
          <w:p>
            <w:pPr>
              <w:pStyle w:val="5"/>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897" w:type="dxa"/>
            <w:vAlign w:val="center"/>
          </w:tcPr>
          <w:p>
            <w:pPr>
              <w:pStyle w:val="5"/>
              <w:rPr>
                <w:rFonts w:asciiTheme="minorEastAsia" w:hAnsiTheme="minorEastAsia" w:eastAsiaTheme="minorEastAsia"/>
                <w:sz w:val="24"/>
                <w:szCs w:val="24"/>
              </w:rPr>
            </w:pPr>
          </w:p>
        </w:tc>
        <w:tc>
          <w:tcPr>
            <w:tcW w:w="3290" w:type="dxa"/>
            <w:vAlign w:val="center"/>
          </w:tcPr>
          <w:p>
            <w:pPr>
              <w:pStyle w:val="5"/>
              <w:rPr>
                <w:rFonts w:asciiTheme="minorEastAsia" w:hAnsiTheme="minorEastAsia" w:eastAsiaTheme="minorEastAsia"/>
                <w:sz w:val="24"/>
                <w:szCs w:val="24"/>
              </w:rPr>
            </w:pPr>
          </w:p>
        </w:tc>
        <w:tc>
          <w:tcPr>
            <w:tcW w:w="1376" w:type="dxa"/>
            <w:vAlign w:val="center"/>
          </w:tcPr>
          <w:p>
            <w:pPr>
              <w:pStyle w:val="5"/>
              <w:rPr>
                <w:rFonts w:asciiTheme="minorEastAsia" w:hAnsiTheme="minorEastAsia" w:eastAsiaTheme="minorEastAsia"/>
                <w:sz w:val="24"/>
                <w:szCs w:val="24"/>
              </w:rPr>
            </w:pPr>
          </w:p>
        </w:tc>
        <w:tc>
          <w:tcPr>
            <w:tcW w:w="698" w:type="dxa"/>
            <w:vAlign w:val="center"/>
          </w:tcPr>
          <w:p>
            <w:pPr>
              <w:pStyle w:val="5"/>
              <w:jc w:val="left"/>
              <w:rPr>
                <w:rFonts w:asciiTheme="minorEastAsia" w:hAnsiTheme="minorEastAsia" w:eastAsiaTheme="minorEastAsia"/>
                <w:sz w:val="24"/>
                <w:szCs w:val="24"/>
              </w:rPr>
            </w:pPr>
          </w:p>
        </w:tc>
        <w:tc>
          <w:tcPr>
            <w:tcW w:w="1994" w:type="dxa"/>
            <w:vAlign w:val="center"/>
          </w:tcPr>
          <w:p>
            <w:pPr>
              <w:pStyle w:val="5"/>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897" w:type="dxa"/>
            <w:vAlign w:val="center"/>
          </w:tcPr>
          <w:p>
            <w:pPr>
              <w:pStyle w:val="5"/>
              <w:rPr>
                <w:rFonts w:asciiTheme="minorEastAsia" w:hAnsiTheme="minorEastAsia" w:eastAsiaTheme="minorEastAsia"/>
                <w:sz w:val="24"/>
                <w:szCs w:val="24"/>
              </w:rPr>
            </w:pPr>
          </w:p>
        </w:tc>
        <w:tc>
          <w:tcPr>
            <w:tcW w:w="3290" w:type="dxa"/>
            <w:vAlign w:val="center"/>
          </w:tcPr>
          <w:p>
            <w:pPr>
              <w:pStyle w:val="5"/>
              <w:rPr>
                <w:rFonts w:asciiTheme="minorEastAsia" w:hAnsiTheme="minorEastAsia" w:eastAsiaTheme="minorEastAsia"/>
                <w:sz w:val="24"/>
                <w:szCs w:val="24"/>
              </w:rPr>
            </w:pPr>
          </w:p>
        </w:tc>
        <w:tc>
          <w:tcPr>
            <w:tcW w:w="1376" w:type="dxa"/>
            <w:vAlign w:val="center"/>
          </w:tcPr>
          <w:p>
            <w:pPr>
              <w:pStyle w:val="5"/>
              <w:rPr>
                <w:rFonts w:asciiTheme="minorEastAsia" w:hAnsiTheme="minorEastAsia" w:eastAsiaTheme="minorEastAsia"/>
                <w:sz w:val="24"/>
                <w:szCs w:val="24"/>
              </w:rPr>
            </w:pPr>
          </w:p>
        </w:tc>
        <w:tc>
          <w:tcPr>
            <w:tcW w:w="698" w:type="dxa"/>
            <w:vAlign w:val="center"/>
          </w:tcPr>
          <w:p>
            <w:pPr>
              <w:pStyle w:val="5"/>
              <w:jc w:val="left"/>
              <w:rPr>
                <w:rFonts w:asciiTheme="minorEastAsia" w:hAnsiTheme="minorEastAsia" w:eastAsiaTheme="minorEastAsia"/>
                <w:sz w:val="24"/>
                <w:szCs w:val="24"/>
              </w:rPr>
            </w:pPr>
          </w:p>
        </w:tc>
        <w:tc>
          <w:tcPr>
            <w:tcW w:w="1994" w:type="dxa"/>
            <w:vAlign w:val="center"/>
          </w:tcPr>
          <w:p>
            <w:pPr>
              <w:pStyle w:val="5"/>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jc w:val="center"/>
        </w:trPr>
        <w:tc>
          <w:tcPr>
            <w:tcW w:w="897" w:type="dxa"/>
            <w:vAlign w:val="center"/>
          </w:tcPr>
          <w:p>
            <w:pPr>
              <w:pStyle w:val="5"/>
              <w:rPr>
                <w:rFonts w:asciiTheme="minorEastAsia" w:hAnsiTheme="minorEastAsia" w:eastAsiaTheme="minorEastAsia"/>
                <w:sz w:val="24"/>
                <w:szCs w:val="24"/>
              </w:rPr>
            </w:pPr>
          </w:p>
        </w:tc>
        <w:tc>
          <w:tcPr>
            <w:tcW w:w="3290" w:type="dxa"/>
            <w:vAlign w:val="center"/>
          </w:tcPr>
          <w:p>
            <w:pPr>
              <w:pStyle w:val="5"/>
              <w:rPr>
                <w:rFonts w:asciiTheme="minorEastAsia" w:hAnsiTheme="minorEastAsia" w:eastAsiaTheme="minorEastAsia"/>
                <w:sz w:val="24"/>
                <w:szCs w:val="24"/>
              </w:rPr>
            </w:pPr>
          </w:p>
          <w:p>
            <w:pPr>
              <w:pStyle w:val="5"/>
              <w:rPr>
                <w:rFonts w:asciiTheme="minorEastAsia" w:hAnsiTheme="minorEastAsia" w:eastAsiaTheme="minorEastAsia"/>
                <w:sz w:val="24"/>
                <w:szCs w:val="24"/>
              </w:rPr>
            </w:pPr>
          </w:p>
        </w:tc>
        <w:tc>
          <w:tcPr>
            <w:tcW w:w="1376" w:type="dxa"/>
            <w:vAlign w:val="center"/>
          </w:tcPr>
          <w:p>
            <w:pPr>
              <w:pStyle w:val="5"/>
              <w:rPr>
                <w:rFonts w:asciiTheme="minorEastAsia" w:hAnsiTheme="minorEastAsia" w:eastAsiaTheme="minorEastAsia"/>
                <w:sz w:val="24"/>
                <w:szCs w:val="24"/>
              </w:rPr>
            </w:pPr>
          </w:p>
        </w:tc>
        <w:tc>
          <w:tcPr>
            <w:tcW w:w="698" w:type="dxa"/>
            <w:vAlign w:val="center"/>
          </w:tcPr>
          <w:p>
            <w:pPr>
              <w:pStyle w:val="5"/>
              <w:jc w:val="left"/>
              <w:rPr>
                <w:rFonts w:asciiTheme="minorEastAsia" w:hAnsiTheme="minorEastAsia" w:eastAsiaTheme="minorEastAsia"/>
                <w:sz w:val="24"/>
                <w:szCs w:val="24"/>
              </w:rPr>
            </w:pPr>
          </w:p>
        </w:tc>
        <w:tc>
          <w:tcPr>
            <w:tcW w:w="1994" w:type="dxa"/>
            <w:vAlign w:val="center"/>
          </w:tcPr>
          <w:p>
            <w:pPr>
              <w:pStyle w:val="5"/>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jc w:val="center"/>
        </w:trPr>
        <w:tc>
          <w:tcPr>
            <w:tcW w:w="897" w:type="dxa"/>
            <w:vAlign w:val="center"/>
          </w:tcPr>
          <w:p>
            <w:pPr>
              <w:pStyle w:val="5"/>
              <w:rPr>
                <w:rFonts w:asciiTheme="minorEastAsia" w:hAnsiTheme="minorEastAsia" w:eastAsiaTheme="minorEastAsia"/>
                <w:sz w:val="24"/>
                <w:szCs w:val="24"/>
              </w:rPr>
            </w:pPr>
          </w:p>
        </w:tc>
        <w:tc>
          <w:tcPr>
            <w:tcW w:w="3290" w:type="dxa"/>
            <w:vAlign w:val="center"/>
          </w:tcPr>
          <w:p>
            <w:pPr>
              <w:pStyle w:val="5"/>
              <w:rPr>
                <w:rFonts w:asciiTheme="minorEastAsia" w:hAnsiTheme="minorEastAsia" w:eastAsiaTheme="minorEastAsia"/>
                <w:sz w:val="24"/>
                <w:szCs w:val="24"/>
              </w:rPr>
            </w:pPr>
          </w:p>
        </w:tc>
        <w:tc>
          <w:tcPr>
            <w:tcW w:w="1376" w:type="dxa"/>
            <w:vAlign w:val="center"/>
          </w:tcPr>
          <w:p>
            <w:pPr>
              <w:pStyle w:val="5"/>
              <w:rPr>
                <w:rFonts w:asciiTheme="minorEastAsia" w:hAnsiTheme="minorEastAsia" w:eastAsiaTheme="minorEastAsia"/>
                <w:sz w:val="24"/>
                <w:szCs w:val="24"/>
              </w:rPr>
            </w:pPr>
          </w:p>
        </w:tc>
        <w:tc>
          <w:tcPr>
            <w:tcW w:w="698" w:type="dxa"/>
            <w:vAlign w:val="center"/>
          </w:tcPr>
          <w:p>
            <w:pPr>
              <w:pStyle w:val="5"/>
              <w:jc w:val="left"/>
              <w:rPr>
                <w:rFonts w:asciiTheme="minorEastAsia" w:hAnsiTheme="minorEastAsia" w:eastAsiaTheme="minorEastAsia"/>
                <w:sz w:val="24"/>
                <w:szCs w:val="24"/>
              </w:rPr>
            </w:pPr>
          </w:p>
        </w:tc>
        <w:tc>
          <w:tcPr>
            <w:tcW w:w="1994" w:type="dxa"/>
            <w:vAlign w:val="center"/>
          </w:tcPr>
          <w:p>
            <w:pPr>
              <w:pStyle w:val="5"/>
              <w:jc w:val="left"/>
              <w:rPr>
                <w:rFonts w:asciiTheme="minorEastAsia" w:hAnsiTheme="minorEastAsia" w:eastAsiaTheme="minorEastAsia"/>
                <w:sz w:val="24"/>
                <w:szCs w:val="24"/>
              </w:rPr>
            </w:pPr>
          </w:p>
        </w:tc>
      </w:tr>
    </w:tbl>
    <w:p>
      <w:pPr>
        <w:pStyle w:val="5"/>
        <w:jc w:val="left"/>
        <w:rPr>
          <w:rFonts w:asciiTheme="minorEastAsia" w:hAnsiTheme="minorEastAsia" w:eastAsiaTheme="minorEastAsia"/>
          <w:sz w:val="24"/>
          <w:szCs w:val="24"/>
        </w:rPr>
      </w:pPr>
    </w:p>
    <w:p>
      <w:pPr>
        <w:pStyle w:val="5"/>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15"/>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0"/>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项目背景</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货物清单</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tbl>
            <w:tblPr>
              <w:tblStyle w:val="10"/>
              <w:tblW w:w="8827"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设备</w:t>
                  </w:r>
                  <w:r>
                    <w:rPr>
                      <w:rFonts w:cs="宋体" w:asciiTheme="minorEastAsia" w:hAnsiTheme="minorEastAsia" w:eastAsiaTheme="minorEastAsia"/>
                      <w:b/>
                      <w:bCs/>
                      <w:kern w:val="0"/>
                      <w:sz w:val="24"/>
                      <w:szCs w:val="24"/>
                    </w:rPr>
                    <w:t xml:space="preserve">名称 </w:t>
                  </w:r>
                </w:p>
              </w:tc>
              <w:tc>
                <w:tcPr>
                  <w:tcW w:w="1344"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cs="宋体" w:asciiTheme="minorEastAsia" w:hAnsiTheme="minorEastAsia" w:eastAsiaTheme="minorEastAsia"/>
                      <w:b/>
                      <w:bCs/>
                      <w:kern w:val="0"/>
                      <w:sz w:val="24"/>
                      <w:szCs w:val="24"/>
                    </w:rPr>
                    <w:t>数量</w:t>
                  </w:r>
                </w:p>
              </w:tc>
              <w:tc>
                <w:tcPr>
                  <w:tcW w:w="1311"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单位</w:t>
                  </w:r>
                </w:p>
              </w:tc>
              <w:tc>
                <w:tcPr>
                  <w:tcW w:w="1770"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总</w:t>
                  </w:r>
                  <w:r>
                    <w:rPr>
                      <w:rFonts w:cs="宋体" w:asciiTheme="minorEastAsia" w:hAnsiTheme="minorEastAsia" w:eastAsiaTheme="minorEastAsia"/>
                      <w:b/>
                      <w:bCs/>
                      <w:kern w:val="0"/>
                      <w:sz w:val="24"/>
                      <w:szCs w:val="24"/>
                    </w:rPr>
                    <w:t>预算</w:t>
                  </w:r>
                  <w:r>
                    <w:rPr>
                      <w:rFonts w:hint="eastAsia" w:cs="宋体" w:asciiTheme="minorEastAsia" w:hAnsiTheme="minorEastAsia" w:eastAsiaTheme="minorEastAsia"/>
                      <w:b/>
                      <w:bCs/>
                      <w:kern w:val="0"/>
                      <w:sz w:val="24"/>
                      <w:szCs w:val="24"/>
                    </w:rPr>
                    <w:t>金</w:t>
                  </w:r>
                  <w:r>
                    <w:rPr>
                      <w:rFonts w:cs="宋体" w:asciiTheme="minorEastAsia" w:hAnsiTheme="minorEastAsia" w:eastAsiaTheme="minorEastAsia"/>
                      <w:b/>
                      <w:bCs/>
                      <w:kern w:val="0"/>
                      <w:sz w:val="24"/>
                      <w:szCs w:val="24"/>
                    </w:rPr>
                    <w:t>额(元)</w:t>
                  </w:r>
                </w:p>
              </w:tc>
              <w:tc>
                <w:tcPr>
                  <w:tcW w:w="1775"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cs="宋体" w:asciiTheme="minorEastAsia" w:hAnsiTheme="minorEastAsia" w:eastAsiaTheme="minorEastAsia"/>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肠内营养输注泵</w:t>
                  </w:r>
                </w:p>
              </w:tc>
              <w:tc>
                <w:tcPr>
                  <w:tcW w:w="1344"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8</w:t>
                  </w:r>
                </w:p>
              </w:tc>
              <w:tc>
                <w:tcPr>
                  <w:tcW w:w="1311"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台</w:t>
                  </w:r>
                </w:p>
              </w:tc>
              <w:tc>
                <w:tcPr>
                  <w:tcW w:w="1770"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b/>
                      <w:kern w:val="0"/>
                      <w:sz w:val="24"/>
                      <w:szCs w:val="24"/>
                    </w:rPr>
                  </w:pPr>
                  <w:r>
                    <w:rPr>
                      <w:rFonts w:cs="宋体" w:asciiTheme="minorEastAsia" w:hAnsiTheme="minorEastAsia" w:eastAsiaTheme="minorEastAsia"/>
                      <w:b/>
                      <w:kern w:val="0"/>
                      <w:sz w:val="24"/>
                      <w:szCs w:val="24"/>
                    </w:rPr>
                    <w:t> </w:t>
                  </w:r>
                  <w:r>
                    <w:rPr>
                      <w:rFonts w:hint="eastAsia" w:cs="宋体" w:asciiTheme="minorEastAsia" w:hAnsiTheme="minorEastAsia" w:eastAsiaTheme="minorEastAsia"/>
                      <w:b/>
                      <w:kern w:val="0"/>
                      <w:sz w:val="24"/>
                      <w:szCs w:val="24"/>
                    </w:rPr>
                    <w:t>176000</w:t>
                  </w:r>
                </w:p>
              </w:tc>
              <w:tc>
                <w:tcPr>
                  <w:tcW w:w="1775" w:type="dxa"/>
                  <w:tcBorders>
                    <w:top w:val="single" w:color="auto" w:sz="6" w:space="0"/>
                    <w:left w:val="single" w:color="auto" w:sz="6" w:space="0"/>
                    <w:bottom w:val="nil"/>
                    <w:right w:val="nil"/>
                  </w:tcBorders>
                  <w:vAlign w:val="center"/>
                </w:tcPr>
                <w:p>
                  <w:pPr>
                    <w:widowControl/>
                    <w:jc w:val="left"/>
                    <w:rPr>
                      <w:rFonts w:hint="eastAsia" w:cs="宋体" w:asciiTheme="minorEastAsia" w:hAnsiTheme="minorEastAsia" w:eastAsiaTheme="minorEastAsia"/>
                      <w:b/>
                      <w:kern w:val="0"/>
                      <w:sz w:val="24"/>
                      <w:szCs w:val="24"/>
                      <w:lang w:eastAsia="zh-CN"/>
                    </w:rPr>
                  </w:pPr>
                  <w:r>
                    <w:rPr>
                      <w:rFonts w:hint="eastAsia" w:cs="宋体" w:asciiTheme="minorEastAsia" w:hAnsiTheme="minorEastAsia" w:eastAsiaTheme="minorEastAsia"/>
                      <w:b/>
                      <w:kern w:val="0"/>
                      <w:sz w:val="24"/>
                      <w:szCs w:val="24"/>
                      <w:lang w:eastAsia="zh-CN"/>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b/>
                      <w:kern w:val="0"/>
                      <w:sz w:val="24"/>
                      <w:szCs w:val="24"/>
                    </w:rPr>
                  </w:pPr>
                </w:p>
              </w:tc>
            </w:tr>
          </w:tbl>
          <w:p>
            <w:pPr>
              <w:widowControl/>
              <w:jc w:val="left"/>
              <w:rPr>
                <w:rFonts w:cs="宋体" w:asciiTheme="minorEastAsia" w:hAnsiTheme="minorEastAsia" w:eastAsiaTheme="minorEastAsia"/>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技术要求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肠内营养泵技术参数:</w:t>
            </w:r>
            <w:r>
              <w:rPr>
                <w:rFonts w:cs="宋体" w:asciiTheme="majorEastAsia" w:hAnsiTheme="majorEastAsia" w:eastAsiaTheme="majorEastAsia"/>
                <w:bCs/>
                <w:kern w:val="0"/>
                <w:sz w:val="24"/>
                <w:szCs w:val="24"/>
              </w:rPr>
              <w:t xml:space="preserve"> </w:t>
            </w:r>
          </w:p>
          <w:p>
            <w:pPr>
              <w:widowControl/>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1.潮汐式蠕动模式，模拟胃的蠕动,符合正常胃肠道生理。</w:t>
            </w:r>
          </w:p>
          <w:p>
            <w:pPr>
              <w:widowControl/>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2.储存记录功能：具有历史参数记忆功能，能记录24小时内所发生的500个历史事件。永久记忆关机前</w:t>
            </w:r>
            <w:bookmarkStart w:id="15" w:name="_GoBack"/>
            <w:bookmarkEnd w:id="15"/>
            <w:r>
              <w:rPr>
                <w:rFonts w:hint="eastAsia" w:cs="宋体" w:asciiTheme="majorEastAsia" w:hAnsiTheme="majorEastAsia" w:eastAsiaTheme="majorEastAsia"/>
                <w:bCs/>
                <w:kern w:val="0"/>
                <w:sz w:val="24"/>
                <w:szCs w:val="24"/>
              </w:rPr>
              <w:t>最后历史参数。具有键盘锁定功能。</w:t>
            </w:r>
          </w:p>
          <w:p>
            <w:pPr>
              <w:widowControl/>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3.有电池功能：电池状态下使用时间长，具有不同的输注模式：连续匀速喂养模式，间歇式匀速喂养模式，间歇式快速喂养模式、固定计量喂养等满足患儿临床需求。</w:t>
            </w:r>
          </w:p>
          <w:p>
            <w:pPr>
              <w:widowControl/>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4.输注速度设定范围：1-400ml/h，增量为1ml，输注总量范围：1-4000ml.输注精确度±5%。具有液晶显示屏，可显示时间，参数，总量等，可设定喂养时间，具有定时提示功能。</w:t>
            </w:r>
          </w:p>
          <w:p>
            <w:pPr>
              <w:widowControl/>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5.报警功能：未正确安装泵管报警，处于暂停状态3分钟报警，输注完毕报警，电池电量即将完毕的报警，管路的阻塞报警，气泡报警等。</w:t>
            </w:r>
          </w:p>
          <w:p>
            <w:pPr>
              <w:widowControl/>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6.整机轻巧易携，易清洗，具有防水功能。</w:t>
            </w:r>
          </w:p>
          <w:p>
            <w:pPr>
              <w:widowControl/>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专用耗材：肠内营养输注器（通用型泵管及通用型重力管）：预算45元左右</w:t>
            </w:r>
          </w:p>
          <w:p>
            <w:pPr>
              <w:widowControl/>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密闭管路避免污染肠内营养剂，紫色管路明显区别于其他非肠内营养用途的管路，方便临床护士识别，不易误接，不易堵管，不含增塑剂(DEHP）</w:t>
            </w:r>
          </w:p>
          <w:p>
            <w:pPr>
              <w:widowControl/>
              <w:rPr>
                <w:rFonts w:cs="宋体" w:asciiTheme="majorEastAsia" w:hAnsiTheme="majorEastAsia" w:eastAsiaTheme="majorEastAsia"/>
                <w:kern w:val="0"/>
                <w:sz w:val="28"/>
                <w:szCs w:val="28"/>
              </w:rPr>
            </w:pPr>
            <w:r>
              <w:rPr>
                <w:rFonts w:hint="eastAsia" w:cs="宋体" w:asciiTheme="majorEastAsia" w:hAnsiTheme="majorEastAsia" w:eastAsiaTheme="majorEastAsia"/>
                <w:bCs/>
                <w:kern w:val="0"/>
                <w:sz w:val="24"/>
                <w:szCs w:val="24"/>
              </w:rPr>
              <w:t>备注：通用型肠内营养输注器是指接口适用于瓶装、袋装等肠内营养制剂。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商务需求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xml:space="preserve">  </w:t>
            </w:r>
          </w:p>
          <w:tbl>
            <w:tblPr>
              <w:tblStyle w:val="10"/>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710"/>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ajorEastAsia" w:hAnsiTheme="majorEastAsia" w:eastAsiaTheme="majorEastAsia"/>
                      <w:kern w:val="0"/>
                      <w:sz w:val="24"/>
                      <w:szCs w:val="24"/>
                    </w:rPr>
                  </w:pPr>
                  <w:r>
                    <w:rPr>
                      <w:rFonts w:cs="宋体" w:asciiTheme="majorEastAsia" w:hAnsiTheme="majorEastAsia" w:eastAsiaTheme="majorEastAsia"/>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ajorEastAsia" w:hAnsiTheme="majorEastAsia" w:eastAsiaTheme="majorEastAsia"/>
                      <w:kern w:val="0"/>
                      <w:sz w:val="24"/>
                      <w:szCs w:val="24"/>
                    </w:rPr>
                  </w:pPr>
                  <w:r>
                    <w:rPr>
                      <w:rFonts w:cs="宋体" w:asciiTheme="majorEastAsia" w:hAnsiTheme="majorEastAsia" w:eastAsiaTheme="majorEastAsia"/>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ajorEastAsia" w:hAnsiTheme="majorEastAsia" w:eastAsiaTheme="majorEastAsia"/>
                      <w:kern w:val="0"/>
                      <w:sz w:val="24"/>
                      <w:szCs w:val="24"/>
                    </w:rPr>
                  </w:pPr>
                  <w:r>
                    <w:rPr>
                      <w:rFonts w:cs="宋体" w:asciiTheme="majorEastAsia" w:hAnsiTheme="majorEastAsia" w:eastAsiaTheme="majorEastAsia"/>
                      <w:b/>
                      <w:bCs/>
                      <w:color w:val="FF0000"/>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643"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b/>
                      <w:bCs/>
                      <w:kern w:val="0"/>
                      <w:sz w:val="24"/>
                      <w:szCs w:val="24"/>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免费保修期</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货物免费保修期 2 年，时间自最终验收合格并交付使用之日起计算。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15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b/>
                      <w:bCs/>
                      <w:kern w:val="0"/>
                      <w:sz w:val="24"/>
                      <w:szCs w:val="24"/>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维修响应及故障解决时间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在保修期内，一旦发生质量问题，投标人保证在接到通知24小时内赶到现场进行修理或更换。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15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4</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5</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开机率及赔偿</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b/>
                      <w:bCs/>
                      <w:kern w:val="0"/>
                      <w:sz w:val="24"/>
                      <w:szCs w:val="24"/>
                    </w:rPr>
                    <w:t>6</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投标人应按其投标文件中的承诺，进行其他售后服务工作。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b/>
                      <w:bCs/>
                      <w:kern w:val="0"/>
                      <w:sz w:val="24"/>
                      <w:szCs w:val="24"/>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b/>
                      <w:bCs/>
                      <w:kern w:val="0"/>
                      <w:sz w:val="24"/>
                      <w:szCs w:val="24"/>
                    </w:rPr>
                    <w:t> </w:t>
                  </w:r>
                  <w:r>
                    <w:rPr>
                      <w:rFonts w:cs="宋体" w:asciiTheme="majorEastAsia" w:hAnsiTheme="majorEastAsia" w:eastAsiaTheme="majorEastAsia"/>
                      <w:kern w:val="0"/>
                      <w:sz w:val="24"/>
                      <w:szCs w:val="24"/>
                    </w:rPr>
                    <w:t>维修响应时间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在保修期外，一旦发生质量问题，投标人保证在接到通知24小时内赶到现场进行修理或更换。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4</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厂家提供终身维修，终身免费提供软件升级，提供消耗品优惠价格，提供零配件优惠价格，而且必须提供设备的使用手册及维修手册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597"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1</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关于交货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1.1签订合同后</w:t>
                  </w:r>
                  <w:r>
                    <w:rPr>
                      <w:rFonts w:cs="宋体" w:asciiTheme="majorEastAsia" w:hAnsiTheme="majorEastAsia" w:eastAsiaTheme="majorEastAsia"/>
                      <w:kern w:val="0"/>
                      <w:sz w:val="24"/>
                      <w:szCs w:val="24"/>
                      <w:u w:val="single"/>
                    </w:rPr>
                    <w:t> 30 </w:t>
                  </w:r>
                  <w:r>
                    <w:rPr>
                      <w:rFonts w:cs="宋体" w:asciiTheme="majorEastAsia" w:hAnsiTheme="majorEastAsia" w:eastAsiaTheme="majorEastAsia"/>
                      <w:kern w:val="0"/>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710" w:type="dxa"/>
                  <w:vMerge w:val="continue"/>
                  <w:tcBorders>
                    <w:top w:val="nil"/>
                    <w:left w:val="single" w:color="auto" w:sz="8" w:space="0"/>
                    <w:bottom w:val="single" w:color="auto" w:sz="8" w:space="0"/>
                    <w:right w:val="single" w:color="auto" w:sz="8" w:space="0"/>
                  </w:tcBorders>
                  <w:vAlign w:val="center"/>
                </w:tcPr>
                <w:p>
                  <w:pPr>
                    <w:widowControl/>
                    <w:jc w:val="left"/>
                    <w:rPr>
                      <w:rFonts w:cs="宋体" w:asciiTheme="majorEastAsia" w:hAnsiTheme="majorEastAsia" w:eastAsiaTheme="majorEastAsia"/>
                      <w:kern w:val="0"/>
                      <w:sz w:val="24"/>
                      <w:szCs w:val="24"/>
                    </w:rPr>
                  </w:pPr>
                </w:p>
              </w:tc>
              <w:tc>
                <w:tcPr>
                  <w:tcW w:w="1373" w:type="dxa"/>
                  <w:vMerge w:val="continue"/>
                  <w:tcBorders>
                    <w:top w:val="nil"/>
                    <w:left w:val="nil"/>
                    <w:bottom w:val="single" w:color="auto" w:sz="8" w:space="0"/>
                    <w:right w:val="single" w:color="auto" w:sz="8" w:space="0"/>
                  </w:tcBorders>
                  <w:vAlign w:val="center"/>
                </w:tcPr>
                <w:p>
                  <w:pPr>
                    <w:widowControl/>
                    <w:jc w:val="left"/>
                    <w:rPr>
                      <w:rFonts w:cs="宋体" w:asciiTheme="majorEastAsia" w:hAnsiTheme="majorEastAsia" w:eastAsiaTheme="majorEastAsia"/>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1.2投标人必须承担的设备运输、安装调试、验收检测和提供设备操作说明书、图纸等其他类似的义务。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826"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2</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关于验收</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4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1.1投标人货物经过双方检验认可后，签署验收报告，产品保修期自验收合格之日起算，由投标人提供产品保修文件。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1467" w:hRule="atLeast"/>
              </w:trPr>
              <w:tc>
                <w:tcPr>
                  <w:tcW w:w="710" w:type="dxa"/>
                  <w:vMerge w:val="continue"/>
                  <w:tcBorders>
                    <w:top w:val="nil"/>
                    <w:left w:val="single" w:color="auto" w:sz="8" w:space="0"/>
                    <w:bottom w:val="single" w:color="auto" w:sz="8" w:space="0"/>
                    <w:right w:val="single" w:color="auto" w:sz="8" w:space="0"/>
                  </w:tcBorders>
                  <w:vAlign w:val="center"/>
                </w:tcPr>
                <w:p>
                  <w:pPr>
                    <w:widowControl/>
                    <w:jc w:val="left"/>
                    <w:rPr>
                      <w:rFonts w:cs="宋体" w:asciiTheme="majorEastAsia" w:hAnsiTheme="majorEastAsia" w:eastAsiaTheme="majorEastAsia"/>
                      <w:kern w:val="0"/>
                      <w:sz w:val="24"/>
                      <w:szCs w:val="24"/>
                    </w:rPr>
                  </w:pPr>
                </w:p>
              </w:tc>
              <w:tc>
                <w:tcPr>
                  <w:tcW w:w="1373" w:type="dxa"/>
                  <w:vMerge w:val="continue"/>
                  <w:tcBorders>
                    <w:top w:val="nil"/>
                    <w:left w:val="nil"/>
                    <w:bottom w:val="single" w:color="auto" w:sz="8" w:space="0"/>
                    <w:right w:val="single" w:color="auto" w:sz="8" w:space="0"/>
                  </w:tcBorders>
                  <w:vAlign w:val="center"/>
                </w:tcPr>
                <w:p>
                  <w:pPr>
                    <w:widowControl/>
                    <w:jc w:val="left"/>
                    <w:rPr>
                      <w:rFonts w:cs="宋体" w:asciiTheme="majorEastAsia" w:hAnsiTheme="majorEastAsia" w:eastAsiaTheme="majorEastAsia"/>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4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1.2当满足以下条件时，采购人才向中标人签发货物验收报告：</w:t>
                  </w:r>
                </w:p>
                <w:p>
                  <w:pPr>
                    <w:widowControl/>
                    <w:spacing w:before="100" w:beforeAutospacing="1" w:after="100" w:afterAutospacing="1" w:line="34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a、中标人已按照合同规定提供了全部产品及完整的技术资料。</w:t>
                  </w:r>
                </w:p>
                <w:p>
                  <w:pPr>
                    <w:widowControl/>
                    <w:spacing w:before="100" w:beforeAutospacing="1" w:after="100" w:afterAutospacing="1" w:line="34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b、货物符合招标文件技术规格书的要求，性能满足要求。</w:t>
                  </w:r>
                </w:p>
                <w:p>
                  <w:pPr>
                    <w:widowControl/>
                    <w:spacing w:before="100" w:beforeAutospacing="1" w:after="100" w:afterAutospacing="1" w:line="34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c、货物具备产品合格证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752"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关于付款</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1、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p>
                  <w:pPr>
                    <w:widowControl/>
                    <w:spacing w:before="100" w:beforeAutospacing="1" w:after="100" w:afterAutospacing="1" w:line="30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2、由于供应商的原因，未能按时供货，每迟一天罚款合同总额的0.5%；如超过供货期30天，我院将终止合同并通过法律程序对供应商进行索赔。</w:t>
                  </w:r>
                </w:p>
                <w:p>
                  <w:pPr>
                    <w:widowControl/>
                    <w:spacing w:before="100" w:beforeAutospacing="1" w:after="100" w:afterAutospacing="1" w:line="300" w:lineRule="atLeas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3、由于供应商的原因，在货到一周内未进行安装调试，或安装调试时间超过正常要求，按每超过一天罚款合同总额的0.5%或按我院损失罚款。情节严重者，我院将依法律程序对供应商进行索赔</w:t>
                  </w:r>
                </w:p>
              </w:tc>
            </w:tr>
          </w:tbl>
          <w:p>
            <w:pPr>
              <w:widowControl/>
              <w:jc w:val="left"/>
              <w:rPr>
                <w:rFonts w:cs="宋体" w:asciiTheme="majorEastAsia" w:hAnsiTheme="majorEastAsia" w:eastAsiaTheme="majorEastAsia"/>
                <w:kern w:val="0"/>
                <w:sz w:val="24"/>
                <w:szCs w:val="24"/>
              </w:rPr>
            </w:pPr>
          </w:p>
        </w:tc>
      </w:tr>
    </w:tbl>
    <w:p>
      <w:pPr>
        <w:jc w:val="center"/>
        <w:rPr>
          <w:rFonts w:asciiTheme="minorEastAsia" w:hAnsiTheme="minorEastAsia" w:eastAsiaTheme="minorEastAsia"/>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201743194"/>
      <w:bookmarkStart w:id="13" w:name="_Toc201998022"/>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0"/>
        <w:tblW w:w="7727" w:type="dxa"/>
        <w:jc w:val="center"/>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swiss"/>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华文宋体">
    <w:altName w:val="宋体"/>
    <w:panose1 w:val="02010600040000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Batang">
    <w:panose1 w:val="02030600000101010101"/>
    <w:charset w:val="81"/>
    <w:family w:val="roman"/>
    <w:pitch w:val="default"/>
    <w:sig w:usb0="B00002AF" w:usb1="69D77CFB" w:usb2="00000030" w:usb3="00000000" w:csb0="4008009F" w:csb1="DFD70000"/>
  </w:font>
  <w:font w:name="Helvetica Neue">
    <w:altName w:val="Times New Roman"/>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4053BC"/>
    <w:rsid w:val="01DE5185"/>
    <w:rsid w:val="0213568A"/>
    <w:rsid w:val="04D7648A"/>
    <w:rsid w:val="05FC6B91"/>
    <w:rsid w:val="07CF0ACE"/>
    <w:rsid w:val="09687692"/>
    <w:rsid w:val="0C372CCD"/>
    <w:rsid w:val="0E215C17"/>
    <w:rsid w:val="110A33B6"/>
    <w:rsid w:val="11EC5E17"/>
    <w:rsid w:val="17596B0C"/>
    <w:rsid w:val="197C450A"/>
    <w:rsid w:val="1A154751"/>
    <w:rsid w:val="1B733CDF"/>
    <w:rsid w:val="1C0C72BC"/>
    <w:rsid w:val="20152CE5"/>
    <w:rsid w:val="22314524"/>
    <w:rsid w:val="22DE11E6"/>
    <w:rsid w:val="25D450BA"/>
    <w:rsid w:val="2A6266E9"/>
    <w:rsid w:val="2F34651F"/>
    <w:rsid w:val="3BD85452"/>
    <w:rsid w:val="3C125C3B"/>
    <w:rsid w:val="3CC86BE5"/>
    <w:rsid w:val="3D83213E"/>
    <w:rsid w:val="41F05DAA"/>
    <w:rsid w:val="4388454E"/>
    <w:rsid w:val="46FD5BE1"/>
    <w:rsid w:val="490579E7"/>
    <w:rsid w:val="497146B0"/>
    <w:rsid w:val="4A490D8F"/>
    <w:rsid w:val="4B315FE3"/>
    <w:rsid w:val="4B8F40E0"/>
    <w:rsid w:val="4BC36005"/>
    <w:rsid w:val="506247ED"/>
    <w:rsid w:val="5128622E"/>
    <w:rsid w:val="56403B5B"/>
    <w:rsid w:val="58865E64"/>
    <w:rsid w:val="58DE6711"/>
    <w:rsid w:val="61C15C3A"/>
    <w:rsid w:val="632640B2"/>
    <w:rsid w:val="66027D44"/>
    <w:rsid w:val="66420C8D"/>
    <w:rsid w:val="68043A23"/>
    <w:rsid w:val="68124293"/>
    <w:rsid w:val="68A37534"/>
    <w:rsid w:val="6B740773"/>
    <w:rsid w:val="6C2D715B"/>
    <w:rsid w:val="72BB566D"/>
    <w:rsid w:val="72FE0135"/>
    <w:rsid w:val="75BF5C57"/>
    <w:rsid w:val="7C6C6D2C"/>
    <w:rsid w:val="7D456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qFormat/>
    <w:uiPriority w:val="0"/>
    <w:pPr>
      <w:spacing w:before="240" w:after="240"/>
      <w:outlineLvl w:val="2"/>
    </w:pPr>
    <w:rPr>
      <w:b/>
      <w:sz w:val="24"/>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Plain Text"/>
    <w:basedOn w:val="1"/>
    <w:link w:val="13"/>
    <w:qFormat/>
    <w:uiPriority w:val="0"/>
    <w:rPr>
      <w:rFonts w:ascii="宋体" w:hAnsi="Courier New" w:cs="Courier New"/>
      <w:szCs w:val="21"/>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szCs w:val="20"/>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标题 3 Char"/>
    <w:basedOn w:val="9"/>
    <w:link w:val="4"/>
    <w:qFormat/>
    <w:uiPriority w:val="0"/>
    <w:rPr>
      <w:b/>
      <w:kern w:val="2"/>
      <w:sz w:val="24"/>
    </w:rPr>
  </w:style>
  <w:style w:type="character" w:customStyle="1" w:styleId="13">
    <w:name w:val="纯文本 Char"/>
    <w:basedOn w:val="9"/>
    <w:link w:val="5"/>
    <w:qFormat/>
    <w:uiPriority w:val="0"/>
    <w:rPr>
      <w:rFonts w:ascii="宋体" w:hAnsi="Courier New" w:cs="Courier New"/>
      <w:kern w:val="2"/>
      <w:sz w:val="21"/>
      <w:szCs w:val="21"/>
    </w:rPr>
  </w:style>
  <w:style w:type="paragraph" w:customStyle="1" w:styleId="14">
    <w:name w:val="Char"/>
    <w:basedOn w:val="1"/>
    <w:qFormat/>
    <w:uiPriority w:val="0"/>
    <w:rPr>
      <w:rFonts w:ascii="仿宋_GB2312" w:eastAsia="仿宋_GB2312"/>
      <w:b/>
      <w:sz w:val="32"/>
      <w:szCs w:val="32"/>
    </w:rPr>
  </w:style>
  <w:style w:type="paragraph" w:customStyle="1" w:styleId="15">
    <w:name w:val="样式 (西文) 宋体 行距: 1.5 倍行距"/>
    <w:basedOn w:val="1"/>
    <w:qFormat/>
    <w:uiPriority w:val="0"/>
    <w:pPr>
      <w:spacing w:line="360" w:lineRule="auto"/>
    </w:pPr>
    <w:rPr>
      <w:rFonts w:ascii="宋体" w:hAnsi="宋体" w:cs="宋体"/>
    </w:rPr>
  </w:style>
  <w:style w:type="character" w:customStyle="1" w:styleId="16">
    <w:name w:val="页眉 Char"/>
    <w:basedOn w:val="9"/>
    <w:link w:val="7"/>
    <w:qFormat/>
    <w:uiPriority w:val="0"/>
    <w:rPr>
      <w:kern w:val="2"/>
      <w:sz w:val="18"/>
      <w:szCs w:val="18"/>
    </w:rPr>
  </w:style>
  <w:style w:type="character" w:customStyle="1" w:styleId="17">
    <w:name w:val="页脚 Char"/>
    <w:basedOn w:val="9"/>
    <w:link w:val="6"/>
    <w:qFormat/>
    <w:uiPriority w:val="99"/>
    <w:rPr>
      <w:kern w:val="2"/>
      <w:sz w:val="18"/>
      <w:szCs w:val="18"/>
    </w:rPr>
  </w:style>
  <w:style w:type="character" w:customStyle="1" w:styleId="18">
    <w:name w:val="标题 2 Char"/>
    <w:basedOn w:val="9"/>
    <w:link w:val="3"/>
    <w:semiHidden/>
    <w:qFormat/>
    <w:uiPriority w:val="0"/>
    <w:rPr>
      <w:rFonts w:asciiTheme="majorHAnsi" w:hAnsiTheme="majorHAnsi" w:eastAsiaTheme="majorEastAsia" w:cstheme="majorBidi"/>
      <w:b/>
      <w:bCs/>
      <w:kern w:val="2"/>
      <w:sz w:val="32"/>
      <w:szCs w:val="32"/>
    </w:rPr>
  </w:style>
  <w:style w:type="paragraph" w:customStyle="1" w:styleId="19">
    <w:name w:val="List Paragraph"/>
    <w:basedOn w:val="1"/>
    <w:qFormat/>
    <w:uiPriority w:val="34"/>
    <w:pPr>
      <w:ind w:firstLine="420" w:firstLineChars="200"/>
    </w:pPr>
    <w:rPr>
      <w:rFonts w:ascii="Calibri" w:hAnsi="Calibri"/>
      <w:szCs w:val="22"/>
    </w:rPr>
  </w:style>
  <w:style w:type="character" w:customStyle="1" w:styleId="20">
    <w:name w:val="标题 1 Char"/>
    <w:basedOn w:val="9"/>
    <w:link w:val="2"/>
    <w:qFormat/>
    <w:uiPriority w:val="0"/>
    <w:rPr>
      <w:b/>
      <w:bCs/>
      <w:kern w:val="44"/>
      <w:sz w:val="44"/>
      <w:szCs w:val="44"/>
    </w:rPr>
  </w:style>
  <w:style w:type="paragraph" w:customStyle="1" w:styleId="21">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2">
    <w:name w:val="_Style 1"/>
    <w:basedOn w:val="1"/>
    <w:qFormat/>
    <w:uiPriority w:val="34"/>
    <w:pPr>
      <w:ind w:firstLine="420" w:firstLineChars="200"/>
    </w:pPr>
  </w:style>
  <w:style w:type="paragraph" w:customStyle="1" w:styleId="23">
    <w:name w:val="样式3"/>
    <w:basedOn w:val="1"/>
    <w:qFormat/>
    <w:uiPriority w:val="0"/>
    <w:pPr>
      <w:spacing w:line="0" w:lineRule="atLeast"/>
      <w:outlineLvl w:val="0"/>
    </w:pPr>
    <w:rPr>
      <w:rFonts w:ascii="宋体" w:hAnsi="Courier New"/>
      <w:sz w:val="28"/>
      <w:szCs w:val="24"/>
    </w:rPr>
  </w:style>
  <w:style w:type="paragraph" w:customStyle="1" w:styleId="24">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25">
    <w:name w:val="招标文件样式2"/>
    <w:basedOn w:val="1"/>
    <w:qFormat/>
    <w:uiPriority w:val="99"/>
    <w:pPr>
      <w:jc w:val="center"/>
      <w:outlineLvl w:val="0"/>
    </w:pPr>
    <w:rPr>
      <w:rFonts w:ascii="宋体" w:hAnsi="宋体"/>
      <w:b/>
      <w:sz w:val="28"/>
      <w:szCs w:val="28"/>
    </w:rPr>
  </w:style>
  <w:style w:type="paragraph" w:customStyle="1" w:styleId="26">
    <w:name w:val="列出段落1"/>
    <w:basedOn w:val="1"/>
    <w:qFormat/>
    <w:uiPriority w:val="99"/>
    <w:pPr>
      <w:ind w:firstLine="420" w:firstLineChars="200"/>
    </w:pPr>
  </w:style>
  <w:style w:type="paragraph" w:customStyle="1" w:styleId="27">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ScaleCrop>false</ScaleCrop>
  <LinksUpToDate>false</LinksUpToDate>
  <CharactersWithSpaces>6853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2018-01-10T01:34:56Z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