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"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深圳市城市建设档案利用规定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（征求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意见稿）》的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说明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leftChars="0"/>
        <w:jc w:val="left"/>
        <w:textAlignment w:val="auto"/>
        <w:rPr>
          <w:rFonts w:hint="default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为全面贯彻党的二十大精神，深入贯彻习近平总书记关于档案工作的重要指示批示精神，加强我市城建档案管理工作，规范城建档案利用，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市住房建设局在深入调研基础上，结合本市实际，起草了《深圳市城市建设档案利用规定（征求意见稿）》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（以下简称《规定》），现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有关起草情况说明如下：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afterLines="0" w:line="560" w:lineRule="exact"/>
        <w:ind w:firstLine="62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一、编制</w:t>
      </w:r>
      <w:r>
        <w:rPr>
          <w:rFonts w:hint="eastAsia" w:ascii="黑体" w:hAnsi="黑体" w:eastAsia="黑体" w:cs="黑体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背景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2020年8月，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市委市政府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理顺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城建档案管理体制机制，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城建档案行政管理职能划入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市住房建设局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并恢复城建档案馆独立设置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。机构改革后，我局立即开展自查和调研，梳理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我市城建档案管理工作中存在的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并抓紧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漏洞、补短板、强弱项，大力提升我市城建档案治理水平和服务能力。在城建档案利用方面，想方设法优化城建档案利用服务方式方法，一方面加强开放共享，公布开放档案目录，推出“微信查档”“预约查档”“线上办”等便民服务，切实提升为群众办事效率；另一方面整合建立全市目录中心，实现全市建设工程档案“一键检索”，解决长期以来由于档案资源分散造成的查找困难、利用不便问题。城建档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利用业务的受理数量和服务质效较机构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改革前大幅增长。面对急剧增加的利用需求和多元化的利用主体及利用目的，因查档不畅而引发的投诉、信访也不断增多。与此相对应的，是我市城建档案利用领域规范性文件的缺失。多年来，城建档案利用的规则仅以城建档案管理机构的内部管理制度为准，没有正式发布对城建档案利用工作进行规范管理的文件。因此，亟需发布规范性文件对城建档案利用工作进行规范和指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2020年6月20日，第十三届全国人大常委会第十九次会议审议通过了新修订的《中华人民共和国档案法》，国家主席习近平签署第47号主席令予以公布，自2021年1月1日起正式施行。新修订的《中华人民共和国档案法》 明确规定一切社会主体享有依法利用档案的权利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进一步为档案的开放和利用提供便利条件，增加档案馆定期公布开放档案目录、完善利用规则、创新服务形式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为制定法律、法规、政策和开展有关问题研究提供支持和便利等方面的规定。</w:t>
      </w:r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城建档案是城市建设的真实记录，对于做好城市规划、建设、管理以及维护城市公共安全具有十分重要的作用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依法依规做好城建档案的利用工作，既保障公众权益，又确保档案安全，意义重大。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afterLines="0" w:line="560" w:lineRule="exact"/>
        <w:ind w:firstLine="628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二、编制过程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560" w:lineRule="exact"/>
        <w:ind w:firstLine="627" w:firstLineChars="196"/>
        <w:contextualSpacing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2020年9月至2021年10月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前往上海、杭州、南京、成都、广州、佛山、珠海等省内外城建档案工作走在前列的兄弟单位实地调研，学习借鉴城建档案利用工作的先进做法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形成调研报告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（二）2022年8月至10月，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组织人员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对当前城建档案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利用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工作中存在的问题进行梳理并开展专题研究。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（三）2022年11月，召集市、区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城建档案管理机构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就当前城建档案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利用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工作中存在的问题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座谈，听取意见和建议。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560" w:lineRule="exact"/>
        <w:ind w:firstLine="627" w:firstLineChars="196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2023年3月至6月，参考其他城建档案馆做法，结合本市城建档案工作实际情况，起草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《规定》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初稿，并进行认真研究和修改完善。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（五）2023年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》向社会公众和相关政府部门征求意见。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afterLines="0" w:line="560" w:lineRule="exact"/>
        <w:ind w:firstLine="628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三、有关情况说明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共十四条，其主要内容如下：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（一）介绍制定依据，界定基本概念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《规定》首先介绍了制定的法律依据（第一条），对“城建档案”的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概念、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“适用范围”及 “城建档案利用”的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概念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进行界定（第二条、第三条、第四条）。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（二）区分开放等级，方便档案利用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按《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中华人民共和国档案法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》要求，将城建档案按照利用等级分成开放档案和未开放档案两类，不同等级城建档案有不同利用路径和相应规定。《规定》指出了开放档案的利用路径（第五条），并重点针对未开放城建档案的利用途径做出了详细规定（第六条）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（三）明确利用主体及途径，设置兜底条款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《中华人民共和国档案法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》规定，“机关、团体、企业事业单位和其他组织以及公民根据经济建设、国防建设、教学科研和其他工作的需要，可以按照国家有关规定，利用档案馆未开放的档案”。《规定》明确了社会各类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主体利用未开放城建档案的途径，城建档案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管理机构在核验利用者身份及与所查档案相关的有效证明后，提供相应的查档服务，使城建档案利用服务贯穿于城市发展全过程和人民生活方方面面（第六条）。《规定》要求利用者“须告知利用目的，出具利用者身份证件，并提供与所查档案相关的有效证明（第六条）”，结合“未经城建档案管理机构同意，档案利用者不得以任何形式公布档案复制件（第十条）”的要求，既保障了利用者利用档案的相关权益，又能在一定程度上确保档案信息的安全，防止因未开放城建档案信息的扩散可能带来的城市公共安全风险。同时，设置兜底条款，为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除九大类利用主体外的其它单位或个人提供合法的档案利用路径。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（四）设置核验程序，保护档案资源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因目前我市城建档案的利用服务不再涉及收费事项，存在部分单位或个人提出超出正常利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用目的、涉嫌侵犯他人权益的不合理需求，为防止浪费服务成本和公共资源，保护城市公共安全，《规定》提出，对“超出合理范围的利用需求”“可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能损害第三方合法权益的、可能对公共利益造成重大影响的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”，“城建档案管理机构可以不予受理”（第七条）。</w:t>
      </w:r>
    </w:p>
    <w:p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（五）简化利用手续，优化利用服务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《中华人民共和国档案法》要求，《规定》指出，“城建档案管理机构应当积极推进档案信息资源共建共享，简化查询利用手续，积极推广网上查档，提高查询利用效率”（第十二条）。这些规定对城建档案管理机构利用现代信息技术精简利用服务手续、不断优化利用服务质量和效率提出了明确要求。</w:t>
      </w:r>
    </w:p>
    <w:p>
      <w:pPr>
        <w:adjustRightInd w:val="0"/>
        <w:snapToGrid w:val="0"/>
        <w:spacing w:afterLines="0" w:line="560" w:lineRule="exact"/>
        <w:ind w:firstLine="64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特此说明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2041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DI3ZWZmYzdjZjk1ZDUyY2JjOWZmMjM2Njg4YjUifQ=="/>
  </w:docVars>
  <w:rsids>
    <w:rsidRoot w:val="00000000"/>
    <w:rsid w:val="0E3E5B52"/>
    <w:rsid w:val="14B930A9"/>
    <w:rsid w:val="1A912D2F"/>
    <w:rsid w:val="1CCE547C"/>
    <w:rsid w:val="28A42934"/>
    <w:rsid w:val="2BE20BCE"/>
    <w:rsid w:val="35260A3F"/>
    <w:rsid w:val="393947EE"/>
    <w:rsid w:val="3FF77B85"/>
    <w:rsid w:val="47F95FA7"/>
    <w:rsid w:val="49200F3B"/>
    <w:rsid w:val="515F7A86"/>
    <w:rsid w:val="5261172B"/>
    <w:rsid w:val="53FFD8EB"/>
    <w:rsid w:val="58BD475F"/>
    <w:rsid w:val="5F5FCC01"/>
    <w:rsid w:val="5FEA033B"/>
    <w:rsid w:val="6A2508C8"/>
    <w:rsid w:val="6DFFF606"/>
    <w:rsid w:val="6EA20105"/>
    <w:rsid w:val="6EAF1D1F"/>
    <w:rsid w:val="7F127358"/>
    <w:rsid w:val="7F2FF104"/>
    <w:rsid w:val="AFBF5485"/>
    <w:rsid w:val="BBFDE328"/>
    <w:rsid w:val="DDF29046"/>
    <w:rsid w:val="DF6F12EE"/>
    <w:rsid w:val="EAB5A2B7"/>
    <w:rsid w:val="FD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Arial" w:hAnsi="Arial" w:eastAsia="微软雅黑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正文_0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2023-09-08T00:28:00Z</dcterms:created>
  <dc:creator>卢鸿斌</dc:creator>
  <cp:lastModifiedBy>cjda-jsb05</cp:lastModifiedBy>
  <dcterms:modified xsi:type="dcterms:W3CDTF">2023-10-17T16:25:38Z</dcterms:modified>
  <dc:title>关于《深圳市城市建设档案利用规定（征求意见稿）》的起草说明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ED033F8A86934A6CABDF14718F03B55F_13</vt:lpwstr>
  </property>
</Properties>
</file>