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96" w:lineRule="atLeast"/>
        <w:ind w:left="0" w:leftChars="0" w:right="0" w:rightChars="0" w:firstLine="0" w:firstLineChars="0"/>
        <w:jc w:val="both"/>
        <w:textAlignment w:val="auto"/>
        <w:rPr>
          <w:rFonts w:hint="eastAsia" w:ascii="宋体" w:hAnsi="宋体" w:eastAsia="宋体" w:cs="宋体"/>
          <w:b w:val="0"/>
          <w:bCs w:val="0"/>
          <w:kern w:val="21"/>
          <w:sz w:val="24"/>
          <w:szCs w:val="24"/>
          <w:lang w:val="en-US" w:eastAsia="zh-CN"/>
        </w:rPr>
      </w:pPr>
      <w:r>
        <w:rPr>
          <w:rFonts w:hint="eastAsia" w:ascii="宋体" w:hAnsi="宋体" w:eastAsia="宋体" w:cs="宋体"/>
          <w:b w:val="0"/>
          <w:bCs w:val="0"/>
          <w:kern w:val="21"/>
          <w:sz w:val="24"/>
          <w:szCs w:val="24"/>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158" w:afterLines="50" w:line="0" w:lineRule="atLeast"/>
        <w:ind w:left="0" w:leftChars="0" w:right="0" w:rightChars="0" w:firstLine="0" w:firstLineChars="0"/>
        <w:jc w:val="center"/>
        <w:textAlignment w:val="auto"/>
        <w:rPr>
          <w:rFonts w:hint="default" w:ascii="宋体" w:hAnsi="宋体" w:eastAsia="宋体" w:cs="宋体"/>
          <w:b w:val="0"/>
          <w:bCs w:val="0"/>
          <w:kern w:val="21"/>
          <w:sz w:val="36"/>
          <w:szCs w:val="36"/>
          <w:lang w:val="en-US" w:eastAsia="zh-CN"/>
        </w:rPr>
      </w:pPr>
      <w:r>
        <w:rPr>
          <w:rFonts w:hint="eastAsia" w:ascii="宋体" w:hAnsi="宋体" w:eastAsia="宋体" w:cs="宋体"/>
          <w:b w:val="0"/>
          <w:bCs w:val="0"/>
          <w:kern w:val="21"/>
          <w:sz w:val="36"/>
          <w:szCs w:val="36"/>
          <w:lang w:val="en-US" w:eastAsia="zh-CN"/>
        </w:rPr>
        <w:t>深圳市交通建设工程施工企业信用评价评定标准</w:t>
      </w:r>
    </w:p>
    <w:tbl>
      <w:tblPr>
        <w:tblStyle w:val="4"/>
        <w:tblW w:w="492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16"/>
        <w:gridCol w:w="1529"/>
        <w:gridCol w:w="1306"/>
        <w:gridCol w:w="7042"/>
        <w:gridCol w:w="1659"/>
        <w:gridCol w:w="5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646"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行为类别</w:t>
            </w: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行为代码</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行为描述</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扣分标准</w:t>
            </w:r>
          </w:p>
        </w:tc>
        <w:tc>
          <w:tcPr>
            <w:tcW w:w="51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646"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投标行为（满分100分，扣完为止）</w:t>
            </w: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SZJTSG1-1</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超越资质等级承揽工程。</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646"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SZJTSG1-2</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出借资质，允许其他单位或个人以本单位名义投标或承接工程。</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646"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SZJTSG1-3</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借用他人资质证书投标或承接工程。</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646"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SZJTSG1-4</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与招标人或与其他投标人串通投标，存在围标、串标等行为。</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646"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SZJTSG1-5</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投标中有行贿行为。</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646"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SZJTSG1-6</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资审材料或投标文件虚假，或以其他违法形式骗取中标资格。</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646"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SZJTSG1-7</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虚假投诉举报。</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20分/次</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646"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SZJTSG1-8</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中标后无正当理由放弃中标（因评、定标时间过长，材料价格上涨过快造成成本价发生较大变化的除外）。</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646"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SZJTSG1-9</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资格预审招标，无故放弃投标导致该标段或该次招标流标的。</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20分/次</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646"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SZJTSG1-10</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违反开标、定标会场纪律、扰乱会场秩序的。</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646"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SZJTSG1-11</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无正当理由拖延合同签订时间（因合同谈判原因的除外）。</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646"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SZJTSG1-12</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中标人在签订合同时向招标人提出附加条件或者更改合同实质性内容的。</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直接定为C级</w:t>
            </w:r>
          </w:p>
        </w:tc>
        <w:tc>
          <w:tcPr>
            <w:tcW w:w="51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646"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SZJTSG1-13</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中标后不按招标文件要求提交履约保证担保的。</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5分/延迟1个月</w:t>
            </w:r>
          </w:p>
        </w:tc>
        <w:tc>
          <w:tcPr>
            <w:tcW w:w="51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履约行为（</w:t>
            </w:r>
            <w:r>
              <w:rPr>
                <w:rFonts w:hint="eastAsia" w:ascii="宋体" w:hAnsi="宋体" w:eastAsia="宋体" w:cs="宋体"/>
                <w:b w:val="0"/>
                <w:bCs w:val="0"/>
                <w:i w:val="0"/>
                <w:color w:val="000000"/>
                <w:spacing w:val="0"/>
                <w:kern w:val="21"/>
                <w:sz w:val="21"/>
                <w:szCs w:val="21"/>
                <w:u w:val="none"/>
                <w:lang w:val="en-US" w:eastAsia="zh-CN" w:bidi="ar"/>
              </w:rPr>
              <w:t>满分100</w:t>
            </w:r>
            <w:r>
              <w:rPr>
                <w:rFonts w:hint="eastAsia" w:ascii="宋体" w:hAnsi="宋体" w:eastAsia="宋体" w:cs="宋体"/>
                <w:b w:val="0"/>
                <w:bCs w:val="0"/>
                <w:i w:val="0"/>
                <w:color w:val="000000"/>
                <w:spacing w:val="-2"/>
                <w:kern w:val="21"/>
                <w:sz w:val="21"/>
                <w:szCs w:val="21"/>
                <w:u w:val="none"/>
                <w:lang w:val="en-US" w:eastAsia="zh-CN" w:bidi="ar"/>
              </w:rPr>
              <w:t>分</w:t>
            </w:r>
            <w:r>
              <w:rPr>
                <w:rFonts w:hint="eastAsia" w:ascii="宋体" w:hAnsi="宋体" w:eastAsia="宋体" w:cs="宋体"/>
                <w:b w:val="0"/>
                <w:bCs w:val="0"/>
                <w:i w:val="0"/>
                <w:color w:val="000000"/>
                <w:spacing w:val="-4"/>
                <w:kern w:val="21"/>
                <w:sz w:val="21"/>
                <w:szCs w:val="21"/>
                <w:u w:val="none"/>
                <w:lang w:val="en-US" w:eastAsia="zh-CN" w:bidi="ar"/>
              </w:rPr>
              <w:t>，</w:t>
            </w:r>
            <w:r>
              <w:rPr>
                <w:rFonts w:hint="eastAsia" w:ascii="宋体" w:hAnsi="宋体" w:eastAsia="宋体" w:cs="宋体"/>
                <w:b w:val="0"/>
                <w:bCs w:val="0"/>
                <w:i w:val="0"/>
                <w:color w:val="000000"/>
                <w:spacing w:val="-2"/>
                <w:kern w:val="21"/>
                <w:sz w:val="21"/>
                <w:szCs w:val="21"/>
                <w:u w:val="none"/>
                <w:lang w:val="en-US" w:eastAsia="zh-CN" w:bidi="ar"/>
              </w:rPr>
              <w:t>扣完为</w:t>
            </w:r>
            <w:r>
              <w:rPr>
                <w:rFonts w:hint="eastAsia" w:ascii="宋体" w:hAnsi="宋体" w:eastAsia="宋体" w:cs="宋体"/>
                <w:b w:val="0"/>
                <w:bCs w:val="0"/>
                <w:i w:val="0"/>
                <w:color w:val="000000"/>
                <w:spacing w:val="0"/>
                <w:kern w:val="21"/>
                <w:sz w:val="21"/>
                <w:szCs w:val="21"/>
                <w:u w:val="none"/>
                <w:lang w:val="en-US" w:eastAsia="zh-CN" w:bidi="ar"/>
              </w:rPr>
              <w:t>止）</w:t>
            </w:r>
          </w:p>
        </w:tc>
        <w:tc>
          <w:tcPr>
            <w:tcW w:w="152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分包管理</w:t>
            </w: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SZJTSG2-1-1</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存在转包行为的。</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SZJTSG2-1-2</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存在违法分包行为的。</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SZJTSG2-1-3</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承包人疏于管理，分包工程被再次分包的（不含劳务分包）。</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20分/次</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2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spacing w:val="-2"/>
                <w:kern w:val="21"/>
                <w:sz w:val="21"/>
                <w:szCs w:val="21"/>
                <w:u w:val="none"/>
                <w:lang w:val="en-US" w:eastAsia="zh-CN" w:bidi="ar"/>
              </w:rPr>
              <w:t>人员、设备到</w:t>
            </w:r>
            <w:r>
              <w:rPr>
                <w:rFonts w:hint="eastAsia" w:ascii="宋体" w:hAnsi="宋体" w:eastAsia="宋体" w:cs="宋体"/>
                <w:b w:val="0"/>
                <w:bCs w:val="0"/>
                <w:i w:val="0"/>
                <w:color w:val="000000"/>
                <w:spacing w:val="-3"/>
                <w:kern w:val="21"/>
                <w:sz w:val="21"/>
                <w:szCs w:val="21"/>
                <w:u w:val="none"/>
                <w:lang w:val="en-US" w:eastAsia="zh-CN" w:bidi="ar"/>
              </w:rPr>
              <w:t>位（满分10分</w:t>
            </w:r>
            <w:r>
              <w:rPr>
                <w:rFonts w:hint="eastAsia" w:ascii="宋体" w:hAnsi="宋体" w:eastAsia="宋体" w:cs="宋体"/>
                <w:b w:val="0"/>
                <w:bCs w:val="0"/>
                <w:i w:val="0"/>
                <w:color w:val="000000"/>
                <w:spacing w:val="-62"/>
                <w:kern w:val="21"/>
                <w:sz w:val="21"/>
                <w:szCs w:val="21"/>
                <w:u w:val="none"/>
                <w:lang w:val="en-US" w:eastAsia="zh-CN" w:bidi="ar"/>
              </w:rPr>
              <w:t>，</w:t>
            </w:r>
            <w:r>
              <w:rPr>
                <w:rFonts w:hint="eastAsia" w:ascii="宋体" w:hAnsi="宋体" w:eastAsia="宋体" w:cs="宋体"/>
                <w:b w:val="0"/>
                <w:bCs w:val="0"/>
                <w:i w:val="0"/>
                <w:color w:val="000000"/>
                <w:kern w:val="21"/>
                <w:sz w:val="21"/>
                <w:szCs w:val="21"/>
                <w:u w:val="none"/>
                <w:lang w:val="en-US" w:eastAsia="zh-CN" w:bidi="ar"/>
              </w:rPr>
              <w:t>扣完为止）</w:t>
            </w: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SZJTSG2-2-1</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项目经理未按投标承诺到位，或在施工期间所更换项目经理资格降低，或未经批准擅自更换。</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5分/人次</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SZJTSG2-2-2</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技术负责人未按投标承诺到位，或在施工期间更换技术负责人资格降低，或未经批准擅自更换。</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3分/人次</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SZJTSG2-2-3</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安全生产负责人、安全员或其他注册执业人员未按投标承诺到位，或无正当理由更换（项目法人要求更换的除外）。</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1分/人次</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1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SZJTSG2-2-4</w:t>
            </w:r>
          </w:p>
        </w:tc>
        <w:tc>
          <w:tcPr>
            <w:tcW w:w="70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安全管理人员、特种设备操作人员及特殊岗位人员未按要求持证上岗（按照有关管理文件、招标文件要求检查）。</w:t>
            </w:r>
          </w:p>
        </w:tc>
        <w:tc>
          <w:tcPr>
            <w:tcW w:w="1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1分/人次</w:t>
            </w:r>
          </w:p>
        </w:tc>
        <w:tc>
          <w:tcPr>
            <w:tcW w:w="5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4"/>
        <w:tblW w:w="492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29"/>
        <w:gridCol w:w="1379"/>
        <w:gridCol w:w="1392"/>
        <w:gridCol w:w="7309"/>
        <w:gridCol w:w="1445"/>
        <w:gridCol w:w="5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行为类别</w:t>
            </w: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行为代码</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行为描述</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扣分标准</w:t>
            </w:r>
          </w:p>
        </w:tc>
        <w:tc>
          <w:tcPr>
            <w:tcW w:w="5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履约行为（满分100</w:t>
            </w:r>
            <w:r>
              <w:rPr>
                <w:rFonts w:hint="eastAsia" w:ascii="宋体" w:hAnsi="宋体" w:eastAsia="宋体" w:cs="宋体"/>
                <w:b w:val="0"/>
                <w:bCs w:val="0"/>
                <w:i w:val="0"/>
                <w:color w:val="000000"/>
                <w:spacing w:val="-2"/>
                <w:kern w:val="21"/>
                <w:sz w:val="21"/>
                <w:szCs w:val="21"/>
                <w:u w:val="none"/>
                <w:lang w:val="en-US" w:eastAsia="zh-CN" w:bidi="ar"/>
              </w:rPr>
              <w:t>分，扣完为</w:t>
            </w:r>
            <w:r>
              <w:rPr>
                <w:rFonts w:hint="eastAsia" w:ascii="宋体" w:hAnsi="宋体" w:eastAsia="宋体" w:cs="宋体"/>
                <w:b w:val="0"/>
                <w:bCs w:val="0"/>
                <w:i w:val="0"/>
                <w:color w:val="000000"/>
                <w:kern w:val="21"/>
                <w:sz w:val="21"/>
                <w:szCs w:val="21"/>
                <w:u w:val="none"/>
                <w:lang w:val="en-US" w:eastAsia="zh-CN" w:bidi="ar"/>
              </w:rPr>
              <w:t>止</w:t>
            </w:r>
            <w:r>
              <w:rPr>
                <w:rFonts w:hint="eastAsia" w:ascii="宋体" w:hAnsi="宋体" w:eastAsia="宋体" w:cs="宋体"/>
                <w:b w:val="0"/>
                <w:bCs w:val="0"/>
                <w:i w:val="0"/>
                <w:color w:val="000000"/>
                <w:spacing w:val="-62"/>
                <w:kern w:val="21"/>
                <w:sz w:val="21"/>
                <w:szCs w:val="21"/>
                <w:u w:val="none"/>
                <w:lang w:val="en-US" w:eastAsia="zh-CN" w:bidi="ar"/>
              </w:rPr>
              <w:t>）</w:t>
            </w:r>
          </w:p>
        </w:tc>
        <w:tc>
          <w:tcPr>
            <w:tcW w:w="138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质量管理、进度管理（满分50分，扣完为止）</w:t>
            </w: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SZJTSG2-3-1</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由于从业单位的主要责任，在建项目发生重大及以上质量责任事故或社会公共事件，造成严重社会影响，或瞒报、虚报事故情况的。</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SZJTSG2-3-2</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经交通运输主管部门或质监机构鉴定合同段工程质量不合格，被要求整改而不整改的，或经整改后仍然不合格的。</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直接定为C级</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SZJTSG2-3-3</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在建工程违反公路工程或市政道路建设强制性标准。</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SZJTSG2-3-4</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拒绝或阻碍依法进行公路和市政道路建设监督检查工作。</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SZJTSG2-3-5</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质量保证体系或质量保证措施不健全（按每检查次数计）。</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SZJTSG2-3-6</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特殊季节施工预防措施不健全（对季节性施工有特殊预防要求的，如雨季、冬季施工，应有相应预防措施）。</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SZJTSG2-3-7</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未建立工程质量责任登记制度（按每检查次数计）。</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8分/次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SZJTSG2-3-8</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使用不合格的建筑材料、建筑构配件和设备，被业主、监理、质监单位责令整改而不整改，对工程质量造成影响被相关部门通报。</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SZJTSG2-3-9</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不按设计图纸施工。</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SZJTSG2-3-10</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不按施工技术标准、规范施工。</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SZJTSG2-3-11</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未经监理签认进入下道工序或分项工程。</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SZJTSG2-3-12</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未经监理签认将建筑材料、建筑构配件和设备在工程上使用或安装。</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SZJTSG2-3-13</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监理下达停工指令拒不执行。</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SZJTSG2-3-14</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未对建筑材料、建筑构配件、设备和商品混凝土进行检验，或者未对涉及结构安全的试块、试件以及有关材料取样检测直接使用。</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SZJTSG2-3-15</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施工过程中偷工减料。</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SZJTSG2-3-16</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工程检查中抽测实体质量不合格（指交通主管部门组织的督查、质监机构组织的监督检查、项目法人组织的正式检查）。</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2分/次/一个部位</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SZJTSG2-3-17</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因施工原因发生一般质量责任事故。</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SZJTSG2-3-18</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出现质量问题经整改仍达不到要求的，5分/次；或质量通病问题反复出现的，视严重程度扣2－5分/次（交通主管部门、质监部门、项目法人发现有质量问题并要求整改，整改不合格的）。</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SZJTSG2-3-19</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工地试验室不符合要求；超越其母体检测机构授权业务范围开展试验检测工作（按每检查次数计）。</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1－3分/次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SZJTSG2-3-20</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试验检测数据或内业资料虚假（按每检查次数计）。</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SZJTSG2-3-21</w:t>
            </w:r>
          </w:p>
        </w:tc>
        <w:tc>
          <w:tcPr>
            <w:tcW w:w="73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因施工单位原因造成工程进度滞后计划工期或合同工期。</w:t>
            </w:r>
          </w:p>
        </w:tc>
        <w:tc>
          <w:tcPr>
            <w:tcW w:w="1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1分/延迟十日</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4"/>
        <w:tblW w:w="492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29"/>
        <w:gridCol w:w="1379"/>
        <w:gridCol w:w="1392"/>
        <w:gridCol w:w="7111"/>
        <w:gridCol w:w="1643"/>
        <w:gridCol w:w="511"/>
      </w:tblGrid>
      <w:tr>
        <w:tblPrEx>
          <w:tblCellMar>
            <w:top w:w="0" w:type="dxa"/>
            <w:left w:w="108" w:type="dxa"/>
            <w:bottom w:w="0" w:type="dxa"/>
            <w:right w:w="108" w:type="dxa"/>
          </w:tblCellMar>
        </w:tblPrEx>
        <w:trPr>
          <w:trHeight w:val="283" w:hRule="atLeast"/>
          <w:jc w:val="center"/>
        </w:trPr>
        <w:tc>
          <w:tcPr>
            <w:tcW w:w="250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行为类别</w:t>
            </w: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行为代码</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行为描述</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扣分标准</w:t>
            </w:r>
          </w:p>
        </w:tc>
        <w:tc>
          <w:tcPr>
            <w:tcW w:w="5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履约行为（满分100</w:t>
            </w:r>
            <w:r>
              <w:rPr>
                <w:rFonts w:hint="eastAsia" w:ascii="宋体" w:hAnsi="宋体" w:eastAsia="宋体" w:cs="宋体"/>
                <w:b w:val="0"/>
                <w:bCs w:val="0"/>
                <w:i w:val="0"/>
                <w:color w:val="000000"/>
                <w:spacing w:val="-2"/>
                <w:kern w:val="21"/>
                <w:sz w:val="21"/>
                <w:szCs w:val="21"/>
                <w:u w:val="none"/>
                <w:lang w:val="en-US" w:eastAsia="zh-CN" w:bidi="ar"/>
              </w:rPr>
              <w:t>分，扣完为止）</w:t>
            </w:r>
          </w:p>
        </w:tc>
        <w:tc>
          <w:tcPr>
            <w:tcW w:w="138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质量管理、进度管理（满分50分，扣完为止）</w:t>
            </w: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SZJTSG2-3-22</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不配合业主进行交工验收。</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SZJTSG2-3-23</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不履行保修义务或者拖延履行保修义务。</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SZJTSG2-3-24</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原材料、工程实体质量抽检未按规定执行，自检频率不符合要求。</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3分/项次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SZJTSG2-3-25</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不认真履行职责或不配合监督机构开展监督抽测（检查）工作的。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SZJTSG2-3-26</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因施工质量问题被建设行政主管部门或监督机构责令停工整改后，未办理复工手续继续强行施工的。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财务管理（满分10分，扣完为止）</w:t>
            </w: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SZJTSG2-4-1</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未开设、使用农民工工资专用账户或农民工工资未全部经过专用账户管理的。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SZJTSG2-4-2</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施工企业未按规定足额缴纳或拖延缴纳工资保障金的。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SZJTSG2-4-3</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工程变更弄虚作假被查出的。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6分/次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SZJTSG2-4-4</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虚假计量被查出的。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SZJTSG2-4-5</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挪用工程款，造成管理混乱、进度滞后等不良影响。</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SZJTSG2-4-6</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因施工企业原因，未及时上报变更文件的。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5分/项次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SZJTSG2-4-7</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因施工企业原因，未按规定编制或提交合同结算资料，造成工程结算滞后的。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spacing w:val="-2"/>
                <w:kern w:val="21"/>
                <w:sz w:val="21"/>
                <w:szCs w:val="21"/>
                <w:u w:val="none"/>
                <w:lang w:val="en-US" w:eastAsia="zh-CN" w:bidi="ar"/>
              </w:rPr>
              <w:t>1分/1个月（延迟不超过12月）</w:t>
            </w:r>
            <w:r>
              <w:rPr>
                <w:rFonts w:hint="eastAsia" w:ascii="宋体" w:hAnsi="宋体" w:eastAsia="宋体" w:cs="宋体"/>
                <w:b w:val="0"/>
                <w:bCs w:val="0"/>
                <w:i w:val="0"/>
                <w:color w:val="000000"/>
                <w:spacing w:val="-62"/>
                <w:kern w:val="21"/>
                <w:sz w:val="21"/>
                <w:szCs w:val="21"/>
                <w:u w:val="none"/>
                <w:lang w:val="en-US" w:eastAsia="zh-CN" w:bidi="ar"/>
              </w:rPr>
              <w:t>，</w:t>
            </w:r>
            <w:r>
              <w:rPr>
                <w:rFonts w:hint="eastAsia" w:ascii="宋体" w:hAnsi="宋体" w:eastAsia="宋体" w:cs="宋体"/>
                <w:b w:val="0"/>
                <w:bCs w:val="0"/>
                <w:i w:val="0"/>
                <w:color w:val="000000"/>
                <w:spacing w:val="-2"/>
                <w:kern w:val="21"/>
                <w:sz w:val="21"/>
                <w:szCs w:val="21"/>
                <w:u w:val="none"/>
                <w:lang w:val="en-US" w:eastAsia="zh-CN" w:bidi="ar"/>
              </w:rPr>
              <w:t>2分/1个月（延迟超过12个月）</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安全生产（满分20分，扣完为止）</w:t>
            </w: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SZJTSG2-5-1</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由于从业单位的主要责任，在建项目发生重大及以上安全责任事故或社会公共事件，造成严重社会影响，或瞒报、虚报事故情况的。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SZJTSG2-5-2</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发生较大安全生产责任事故。</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SZJTSG2-5-3</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项目负责人，未经安全教育培训或考核不合格即从事相关工作。</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SZJTSG2-5-4</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专职安全生产管理人员，未经安全教育培训或考核不合格即从事相关工作。</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SZJTSG2-5-5</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作业人员或者特种作业人员，未经安全教育培训或考核不合格即从事相关工作。</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SZJTSG2-5-6</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项目负责人、安全负责人未履行安全生产管理职责的，未到岗或无签署的安全管理记录资料。</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SZJTSG2-5-7</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投入使用的特种设备未经具有专业资质的机构检测、检验合格，未取得安全使用证或者安全标志；使用未经验收或者验收不合格的施工起重机械和整体提升脚手架、模板等自升式架设设施。</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SZJTSG2-5-8</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使用国家明令淘汰、禁止使用的危及生产安全的工艺、设备。</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6分/次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4"/>
        <w:tblW w:w="492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29"/>
        <w:gridCol w:w="1379"/>
        <w:gridCol w:w="1392"/>
        <w:gridCol w:w="7111"/>
        <w:gridCol w:w="1643"/>
        <w:gridCol w:w="5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行为类别</w:t>
            </w: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行为代码</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行为描述</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扣分标准</w:t>
            </w:r>
          </w:p>
        </w:tc>
        <w:tc>
          <w:tcPr>
            <w:tcW w:w="5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履约行为（满分100</w:t>
            </w:r>
            <w:r>
              <w:rPr>
                <w:rFonts w:hint="eastAsia" w:ascii="宋体" w:hAnsi="宋体" w:eastAsia="宋体" w:cs="宋体"/>
                <w:b w:val="0"/>
                <w:bCs w:val="0"/>
                <w:i w:val="0"/>
                <w:color w:val="000000"/>
                <w:spacing w:val="-2"/>
                <w:kern w:val="21"/>
                <w:sz w:val="21"/>
                <w:szCs w:val="21"/>
                <w:u w:val="none"/>
                <w:lang w:val="en-US" w:eastAsia="zh-CN" w:bidi="ar"/>
              </w:rPr>
              <w:t>分，扣完为止）</w:t>
            </w:r>
          </w:p>
        </w:tc>
        <w:tc>
          <w:tcPr>
            <w:tcW w:w="138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安全生产（满分20分，扣完为止）</w:t>
            </w: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SZJTSG2-5-9</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储存、使用危险物品，未建立专门安全管理制度、未采取可靠的安全措施或者不接受有关主管部门依法实施的监督管理。</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4分/次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SZJTSG2-5-10</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对重大危险源未登记建档；或者未进行评估、监控；或者未制定应急预案。</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4分/次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SZJTSG2-5-11</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进行爆破、吊装等危险作业，未安排专门管理人员进行现场安全管理。</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SZJTSG2-5-12</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危险品存放不规范，管理不严格。储存、使用危险物品的车间、仓库与员工宿舍在同一座建筑内，或者与员工宿舍的距离不符合安全要求；施工现场和员工宿舍未设有符合紧急疏散需要、标志明显、保持畅通的出口，或者封闭、堵塞施工现场或者员工宿舍出口。</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SZJTSG2-5-13</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从业人员不服从管理，违反安全生产规章制度或者操作规程。</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SZJTSG2-5-14</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主要负责人在本单位发生重大生产安全事故时，不立即组织抢救或者在事故调查处理期间擅离职守或者逃匿。</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SZJTSG2-5-15</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未根据不同施工阶段和周围环境及季节、气候的变化，在施工现场采取相应的安全施工措施。</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SZJTSG2-5-16</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委托不具有相应资质的单位承担施工现场安装、拆卸施工起重机械和整体提升脚手架、模板等自升式架设设施。</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SZJTSG2-5-17</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安全生产许可证有效期满未办理延期手续，继续进行生产；逾期仍不办理延期手续，继续进行生产。</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SZJTSG2-5-18</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使用伪造的安全生产许可证。</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SZJTSG2-5-19</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多次整改仍然存在安全问题；对存在重大安全事故隐患但拒绝整改或者整改效果不明显（被建设单位或交通主管部门发现有安全生产问题并要求整改，整改不合格的）。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SZJTSG2-5-20</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发生一般安全生产责任事故。</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SZJTSG2-5-21</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未办理施工现场人员人身意外伤害保险。</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SZJTSG2-5-22</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伪造、转让、冒用建筑施工企业管理人员安全生产考核合格证书。</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SZJTSG2-5-23</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因施工安全问题被建设行政主管部门或监督机构责令停工整改后，不停工整改继续施工。</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SZJTSG2-5-24</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因施工安全问题被建设行政主管部门或监督机构责令停工整改后，不停工整改继续施工，被再次责令停工整改，而不停工整改，继续强行施工的。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7" w:beforeLines="5" w:after="17" w:afterLines="5" w:line="270"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4"/>
        <w:tblW w:w="492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29"/>
        <w:gridCol w:w="1379"/>
        <w:gridCol w:w="1392"/>
        <w:gridCol w:w="7111"/>
        <w:gridCol w:w="1643"/>
        <w:gridCol w:w="5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行为类别</w:t>
            </w: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行为代码</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行为描述</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strike w:val="0"/>
                <w:dstrike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扣分标准</w:t>
            </w:r>
          </w:p>
        </w:tc>
        <w:tc>
          <w:tcPr>
            <w:tcW w:w="5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履约行为（满分100</w:t>
            </w:r>
            <w:r>
              <w:rPr>
                <w:rFonts w:hint="eastAsia" w:ascii="宋体" w:hAnsi="宋体" w:eastAsia="宋体" w:cs="宋体"/>
                <w:b w:val="0"/>
                <w:bCs w:val="0"/>
                <w:i w:val="0"/>
                <w:color w:val="000000"/>
                <w:spacing w:val="-2"/>
                <w:kern w:val="21"/>
                <w:sz w:val="21"/>
                <w:szCs w:val="21"/>
                <w:u w:val="none"/>
                <w:lang w:val="en-US" w:eastAsia="zh-CN" w:bidi="ar"/>
              </w:rPr>
              <w:t>分，扣完为止）</w:t>
            </w:r>
          </w:p>
        </w:tc>
        <w:tc>
          <w:tcPr>
            <w:tcW w:w="138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社会责任（满分10分，扣完为止）</w:t>
            </w: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SZJTSG2-6-1</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施工企业作为用人单位拖欠农民工工资导致单个上访或被媒体曝光查实的。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strike/>
                <w:color w:val="000000"/>
                <w:kern w:val="21"/>
                <w:sz w:val="21"/>
                <w:szCs w:val="21"/>
              </w:rPr>
            </w:pPr>
            <w:r>
              <w:rPr>
                <w:rFonts w:hint="eastAsia" w:ascii="宋体" w:hAnsi="宋体" w:eastAsia="宋体" w:cs="宋体"/>
                <w:b w:val="0"/>
                <w:bCs w:val="0"/>
                <w:i w:val="0"/>
                <w:strike w:val="0"/>
                <w:dstrike w:val="0"/>
                <w:color w:val="000000"/>
                <w:kern w:val="21"/>
                <w:sz w:val="21"/>
                <w:szCs w:val="21"/>
                <w:u w:val="none"/>
                <w:lang w:val="en-US" w:eastAsia="zh-CN" w:bidi="ar"/>
              </w:rPr>
              <w:t>15分/次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SZJTSG2-6-2</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施工企业作为用人单位拖欠农民工工资导致群体性上访或被媒体曝光查实的。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直接定为C级</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SZJTSG2-6-3</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施工企业作为用人单位拖欠农民工工资被人力资源部门或建设主管部门处罚的。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直接定为C级</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SZJTSG2-6-4</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造成生态环境破坏、水土流失、扬尘污染、噪声污染或乱占土地，被群众投诉，造成较大影响，或被相关部门处罚曝光。</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SZJTSG2-6-5</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在崩塌滑坡危险区、泥石流易发区范围内取土、挖砂或者采石，被有关部门书面处罚。</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SZJTSG2-6-6</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施工产生的废渣随意堆放或丢弃，废水随意排放，被有关部门书面处罚。</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SZJTSG2-6-7</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施工中破坏生态环境，被有关部门书面处罚。</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SZJTSG2-6-8</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施工过程中造成水土流失，不进行治理，被有关部门书面处罚。</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4分/次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SZJTSG2-6-9</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生活区、办公区设置杂乱，卫生环境差，被有关部门书面处罚。</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SZJTSG2-6-10</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建设项目出现突发事件，拒不执行应急或救援任务。</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SZJTSG2-6-11</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乱占土地被有关部门书面处罚。</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SZJTSG2-6-12</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临时占用农田、林地等未及时复垦或恢复原状，被有关部门书面处罚。</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SZJTSG2-6-13</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违反廉政合同要求。</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5分/人次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其他失信行为（在企业总分中扣分；针对同一事件的扣分按最高分值只计一次）</w:t>
            </w: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SZJTSG3-1</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被司法机关认定有行贿、受贿行为，并构成犯罪的。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SZJTSG3-2</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由于企业自身原因，应参加信用评价但未按要求提交相关评价资料申请参加信用评价的，进行通知或催告后仍不按要求提交相关评价资料申请参加信用评价的。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直接定为C级</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SZJTSG3-3</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信用评价弄虚作假或以不正当手段骗取较高信用等级。</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SZJTSG3-4</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恶意拖欠工程款、农民工工资、材料款被司法机关强制执行，或因拖欠问题造成群体事件或不良社会影响每次扣20分；因施工方原因发生民工向建设单位讨要拖欠工资的每次扣10分；因施工方自身原因发生民工向政府部门讨要拖欠工资的每次扣20分。</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10分或20分/次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SZJTSG3-5</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拒绝参与交通运输主管部门组织的应急抢险任务。</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SZJTSG3-6</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被市、区级交通运输主管部门通报批评。</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SZJTSG3-7</w:t>
            </w:r>
          </w:p>
        </w:tc>
        <w:tc>
          <w:tcPr>
            <w:tcW w:w="7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信用评价年度内，在深项目发生其他不良或违规行为，被深圳市建设单位、质监机构通报的每次扣1分。</w:t>
            </w:r>
          </w:p>
        </w:tc>
        <w:tc>
          <w:tcPr>
            <w:tcW w:w="1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1－2分/次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4"/>
        <w:tblW w:w="492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508"/>
        <w:gridCol w:w="1115"/>
        <w:gridCol w:w="7009"/>
        <w:gridCol w:w="2022"/>
        <w:gridCol w:w="5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行为类别</w:t>
            </w: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行为代码</w:t>
            </w:r>
          </w:p>
        </w:tc>
        <w:tc>
          <w:tcPr>
            <w:tcW w:w="70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行为描述</w:t>
            </w:r>
          </w:p>
        </w:tc>
        <w:tc>
          <w:tcPr>
            <w:tcW w:w="20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扣分标准</w:t>
            </w:r>
          </w:p>
        </w:tc>
        <w:tc>
          <w:tcPr>
            <w:tcW w:w="5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其他失信行为（在企业总分中扣分；针对同一事件的扣分按最高分值只计一次）</w:t>
            </w: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SZJTSG3-8</w:t>
            </w:r>
          </w:p>
        </w:tc>
        <w:tc>
          <w:tcPr>
            <w:tcW w:w="70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信用评价年度内，因在深圳市市政道路及附属工程质量和安全生产的违法违规行为，被住建部予以信息公开的。</w:t>
            </w:r>
          </w:p>
        </w:tc>
        <w:tc>
          <w:tcPr>
            <w:tcW w:w="20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8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8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SZJTSG3-9</w:t>
            </w:r>
          </w:p>
        </w:tc>
        <w:tc>
          <w:tcPr>
            <w:tcW w:w="70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信用评价年度内，在深圳市公路工程和市政道路建设项目的从业施工单位，发生安全生产责任事故的，扣1.0分×事故起数×死亡人数；发生非责任事故的，扣0.5分×事故起数×死亡人数（事故类型以安全生产事故调查报告或事故调查处理单位有关证明为准，自然灾害造成的伤亡情况除外）。</w:t>
            </w:r>
          </w:p>
        </w:tc>
        <w:tc>
          <w:tcPr>
            <w:tcW w:w="20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0.5分或1.0分×事故起数×死亡人数</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8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良好信用行为（在企业总分中加分；针对同一事件的加分按最高分值只计一次）</w:t>
            </w: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SZJTSG4-1</w:t>
            </w:r>
          </w:p>
        </w:tc>
        <w:tc>
          <w:tcPr>
            <w:tcW w:w="70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评价年度内，在项目建设过程中表现突出，获得市、区级交通运输主管部门通报表彰（含表扬、感谢）。</w:t>
            </w:r>
          </w:p>
        </w:tc>
        <w:tc>
          <w:tcPr>
            <w:tcW w:w="20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加0.5－1分/次（区级0.5分/次，市级1分/次，最高限值3分）</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8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8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SZJTSG4-2</w:t>
            </w:r>
          </w:p>
        </w:tc>
        <w:tc>
          <w:tcPr>
            <w:tcW w:w="70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信用评价年度内，从业单位在深施工标段在“品质工程”“绿色公路”“五赛五比”等活动开展中成绩突出，被项目建设单位推荐为示范标段的，加1分/次；被深圳市交通运输主管部门（市政道路工程被深圳市住建局）推荐为示范标段的，加2分/次。</w:t>
            </w:r>
          </w:p>
        </w:tc>
        <w:tc>
          <w:tcPr>
            <w:tcW w:w="20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加1－2分/次</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8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8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SZJTSG4-3</w:t>
            </w:r>
          </w:p>
        </w:tc>
        <w:tc>
          <w:tcPr>
            <w:tcW w:w="70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评价年度内，从业单位作为主要单位承担的深圳市交通建设工程项目或科研课题获得国家科技进步奖（二等奖以上）、国家优质工程奖、詹天佑奖、鲁班奖、李春奖。</w:t>
            </w:r>
          </w:p>
        </w:tc>
        <w:tc>
          <w:tcPr>
            <w:tcW w:w="20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加1分（最高限值5分）</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8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8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SZJTSG4-4</w:t>
            </w:r>
          </w:p>
        </w:tc>
        <w:tc>
          <w:tcPr>
            <w:tcW w:w="70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评价年度内，从业单位作为主要单位承担的深圳市交通建设工程项目或科研课题获得广东省建设工程金匠奖、广东省建设工程优质奖。</w:t>
            </w:r>
          </w:p>
        </w:tc>
        <w:tc>
          <w:tcPr>
            <w:tcW w:w="20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加0.5分/次（最高限值2分）</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8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8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SZJTSG4-5</w:t>
            </w:r>
          </w:p>
        </w:tc>
        <w:tc>
          <w:tcPr>
            <w:tcW w:w="70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评价年度内，被深圳市交通运输局推选主办会议观摩、推广的工地。</w:t>
            </w:r>
          </w:p>
        </w:tc>
        <w:tc>
          <w:tcPr>
            <w:tcW w:w="20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line="28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加0.5分每个（最高限值1分）</w:t>
            </w:r>
          </w:p>
        </w:tc>
        <w:tc>
          <w:tcPr>
            <w:tcW w:w="5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80"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val="0"/>
        <w:snapToGrid w:val="0"/>
        <w:spacing w:before="95" w:beforeLines="30" w:line="260" w:lineRule="exact"/>
        <w:ind w:left="-63" w:leftChars="-30" w:right="-63" w:rightChars="-30"/>
        <w:jc w:val="both"/>
        <w:textAlignment w:val="auto"/>
        <w:rPr>
          <w:rFonts w:hint="eastAsia" w:ascii="楷体_GB2312" w:hAnsi="楷体_GB2312" w:eastAsia="楷体_GB2312" w:cs="楷体_GB2312"/>
          <w:b w:val="0"/>
          <w:bCs w:val="0"/>
          <w:kern w:val="21"/>
          <w:sz w:val="21"/>
          <w:szCs w:val="21"/>
        </w:rPr>
      </w:pPr>
      <w:r>
        <w:rPr>
          <w:rFonts w:hint="eastAsia" w:ascii="楷体_GB2312" w:hAnsi="楷体_GB2312" w:eastAsia="楷体_GB2312" w:cs="楷体_GB2312"/>
          <w:b w:val="0"/>
          <w:bCs w:val="0"/>
          <w:kern w:val="21"/>
          <w:sz w:val="21"/>
          <w:szCs w:val="21"/>
        </w:rPr>
        <w:t>注：表中所列不良行为扣分项经多次要求书面整改未整改的按照每超出整改时间相同天数再扣一次分数累计。</w:t>
      </w:r>
    </w:p>
    <w:p/>
    <w:sectPr>
      <w:pgSz w:w="16838" w:h="11906" w:orient="landscape"/>
      <w:pgMar w:top="1417" w:right="1843" w:bottom="1417"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2DB15FE3"/>
    <w:rsid w:val="2DB15FE3"/>
    <w:rsid w:val="602A1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1 Char Char Char Char Char Char"/>
    <w:basedOn w:val="1"/>
    <w:qFormat/>
    <w:uiPriority w:val="0"/>
    <w:pPr>
      <w:widowControl/>
      <w:adjustRightInd w:val="0"/>
      <w:snapToGrid w:val="0"/>
      <w:spacing w:beforeLines="25" w:line="240" w:lineRule="exact"/>
      <w:ind w:firstLine="560" w:firstLineChars="192"/>
      <w:jc w:val="left"/>
    </w:pPr>
    <w:rPr>
      <w:rFonts w:ascii="宋体" w:hAnsi="宋体" w:eastAsia="仿宋_GB2312"/>
      <w:kern w:val="0"/>
      <w:sz w:val="28"/>
      <w:szCs w:val="2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2023-09-20T03:49:00Z</dcterms:created>
  <dc:creator>龙瑶</dc:creator>
  <cp:lastModifiedBy>龙瑶</cp:lastModifiedBy>
  <dcterms:modified xsi:type="dcterms:W3CDTF">2023-09-20T04:05:13Z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C2A6A170951C4AE7A6ACBAF3B6A0AE3B_11</vt:lpwstr>
  </property>
</Properties>
</file>