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Lines="0" w:line="410" w:lineRule="atLeast"/>
        <w:ind w:firstLine="0" w:firstLineChars="0"/>
        <w:textAlignment w:val="auto"/>
        <w:rPr>
          <w:rFonts w:hint="eastAsia" w:ascii="宋体" w:eastAsia="宋体" w:cs="宋体"/>
          <w:kern w:val="21"/>
          <w:lang w:val="en-US" w:eastAsia="zh-CN"/>
        </w:rPr>
      </w:pPr>
      <w:r>
        <w:rPr>
          <w:rFonts w:hint="eastAsia" w:ascii="宋体" w:eastAsia="宋体" w:cs="宋体"/>
          <w:kern w:val="21"/>
          <w:lang w:val="en-US" w:eastAsia="zh-CN"/>
        </w:rPr>
        <w:t>附件</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0" w:firstLineChars="0"/>
        <w:jc w:val="center"/>
        <w:textAlignment w:val="auto"/>
        <w:rPr>
          <w:rFonts w:hint="eastAsia" w:ascii="黑体" w:hAnsi="黑体" w:eastAsia="黑体" w:cs="黑体"/>
          <w:kern w:val="21"/>
          <w:lang w:val="en-US" w:eastAsia="zh-CN"/>
        </w:rPr>
      </w:pPr>
      <w:bookmarkStart w:id="0" w:name="_GoBack"/>
      <w:r>
        <w:rPr>
          <w:rFonts w:hint="eastAsia" w:ascii="黑体" w:hAnsi="黑体" w:eastAsia="黑体" w:cs="黑体"/>
          <w:kern w:val="21"/>
          <w:lang w:val="en-US" w:eastAsia="zh-CN"/>
        </w:rPr>
        <w:t>附    则</w:t>
      </w:r>
    </w:p>
    <w:bookmarkEnd w:id="0"/>
    <w:p>
      <w:pPr>
        <w:pStyle w:val="2"/>
        <w:keepNext w:val="0"/>
        <w:keepLines w:val="0"/>
        <w:pageBreakBefore w:val="0"/>
        <w:widowControl w:val="0"/>
        <w:kinsoku/>
        <w:wordWrap/>
        <w:overflowPunct/>
        <w:topLinePunct w:val="0"/>
        <w:autoSpaceDE/>
        <w:autoSpaceDN/>
        <w:bidi w:val="0"/>
        <w:adjustRightInd w:val="0"/>
        <w:snapToGrid w:val="0"/>
        <w:spacing w:before="295" w:beforeLines="50"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1</w:t>
      </w:r>
      <w:r>
        <w:rPr>
          <w:rFonts w:hint="eastAsia" w:ascii="宋体" w:eastAsia="宋体" w:cs="宋体"/>
          <w:kern w:val="21"/>
          <w:lang w:val="en-US" w:eastAsia="zh-CN"/>
        </w:rPr>
        <w:t>．</w:t>
      </w:r>
      <w:r>
        <w:rPr>
          <w:rFonts w:hint="eastAsia" w:ascii="宋体" w:hAnsi="宋体" w:eastAsia="宋体" w:cs="宋体"/>
          <w:kern w:val="21"/>
          <w:lang w:val="en-US" w:eastAsia="zh-CN"/>
        </w:rPr>
        <w:t>本措施的操作指引由前海管理局另行发布。</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2</w:t>
      </w:r>
      <w:r>
        <w:rPr>
          <w:rFonts w:hint="eastAsia" w:ascii="宋体" w:eastAsia="宋体" w:cs="宋体"/>
          <w:kern w:val="21"/>
          <w:lang w:val="en-US" w:eastAsia="zh-CN"/>
        </w:rPr>
        <w:t>．</w:t>
      </w:r>
      <w:r>
        <w:rPr>
          <w:rFonts w:hint="eastAsia" w:ascii="宋体" w:hAnsi="宋体" w:eastAsia="宋体" w:cs="宋体"/>
          <w:kern w:val="21"/>
          <w:lang w:val="en-US" w:eastAsia="zh-CN"/>
        </w:rPr>
        <w:t>每家机构每年享受本措施支持原则上不超过1000万元。同时符合本措施及深圳市、南山区、宝安区、前海其他同类性质支持政策规定的，不得重复申请与享受。</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3</w:t>
      </w:r>
      <w:r>
        <w:rPr>
          <w:rFonts w:hint="eastAsia" w:ascii="宋体" w:eastAsia="宋体" w:cs="宋体"/>
          <w:kern w:val="21"/>
          <w:lang w:val="en-US" w:eastAsia="zh-CN"/>
        </w:rPr>
        <w:t>．</w:t>
      </w:r>
      <w:r>
        <w:rPr>
          <w:rFonts w:hint="eastAsia" w:ascii="宋体" w:hAnsi="宋体" w:eastAsia="宋体" w:cs="宋体"/>
          <w:kern w:val="21"/>
          <w:lang w:val="en-US" w:eastAsia="zh-CN"/>
        </w:rPr>
        <w:t>入驻前海国际税务师大厦的会计、法律、资产评估、管理咨询、人力资源服务机构，可参照本措施第4条享受租金支持。</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4</w:t>
      </w:r>
      <w:r>
        <w:rPr>
          <w:rFonts w:hint="eastAsia" w:ascii="宋体" w:eastAsia="宋体" w:cs="宋体"/>
          <w:kern w:val="21"/>
          <w:lang w:val="en-US" w:eastAsia="zh-CN"/>
        </w:rPr>
        <w:t>．</w:t>
      </w:r>
      <w:r>
        <w:rPr>
          <w:rFonts w:hint="eastAsia" w:ascii="宋体" w:hAnsi="宋体" w:eastAsia="宋体" w:cs="宋体"/>
          <w:kern w:val="21"/>
          <w:lang w:val="en-US" w:eastAsia="zh-CN"/>
        </w:rPr>
        <w:t>本措施所支持的涉税服务机构指已纳入税务机关实名制管理的税务师事务所和从事涉税专业服务的会计师事务所、律师事务所、代理记账机构、税务代理公司、财税类咨询公司等机构，以及相关行业协会。</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申请支持的涉税服务机构应满足在前海设立并从事实际经营活动及税收缴纳，且办公场地面积不低于100平方米（行业协会不受面积限制）。</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5</w:t>
      </w:r>
      <w:r>
        <w:rPr>
          <w:rFonts w:hint="eastAsia" w:ascii="宋体" w:eastAsia="宋体" w:cs="宋体"/>
          <w:kern w:val="21"/>
          <w:lang w:val="en-US" w:eastAsia="zh-CN"/>
        </w:rPr>
        <w:t>．</w:t>
      </w:r>
      <w:r>
        <w:rPr>
          <w:rFonts w:hint="eastAsia" w:ascii="宋体" w:hAnsi="宋体" w:eastAsia="宋体" w:cs="宋体"/>
          <w:kern w:val="21"/>
          <w:lang w:val="en-US" w:eastAsia="zh-CN"/>
        </w:rPr>
        <w:t>本措施所称“新设立或新迁入”是指2022年1月1日之后在前海设立或迁入前海。</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6</w:t>
      </w:r>
      <w:r>
        <w:rPr>
          <w:rFonts w:hint="eastAsia" w:ascii="宋体" w:eastAsia="宋体" w:cs="宋体"/>
          <w:kern w:val="21"/>
          <w:lang w:val="en-US" w:eastAsia="zh-CN"/>
        </w:rPr>
        <w:t>．</w:t>
      </w:r>
      <w:r>
        <w:rPr>
          <w:rFonts w:hint="eastAsia" w:ascii="宋体" w:hAnsi="宋体" w:eastAsia="宋体" w:cs="宋体"/>
          <w:kern w:val="21"/>
          <w:lang w:val="en-US" w:eastAsia="zh-CN"/>
        </w:rPr>
        <w:t>本措施所支持的港澳涉税专业人士指已根据《国家税务总局深圳市税务局关于发布〈港澳涉税专业人士在中国（广东）自由贸易试验区深圳前海蛇口片区执业管理暂行办法〉的公告》</w:t>
      </w:r>
      <w:r>
        <w:rPr>
          <w:rFonts w:hint="eastAsia" w:ascii="宋体" w:eastAsia="宋体" w:cs="宋体"/>
          <w:kern w:val="21"/>
          <w:lang w:val="en-US" w:eastAsia="zh-CN"/>
        </w:rPr>
        <w:t>（</w:t>
      </w:r>
      <w:r>
        <w:rPr>
          <w:rFonts w:hint="eastAsia" w:ascii="宋体" w:hAnsi="宋体" w:eastAsia="宋体" w:cs="宋体"/>
          <w:kern w:val="21"/>
          <w:lang w:val="en-US" w:eastAsia="zh-CN"/>
        </w:rPr>
        <w:t>国家税务总局深圳市税务局公告2021年第1号</w:t>
      </w:r>
      <w:r>
        <w:rPr>
          <w:rFonts w:hint="eastAsia" w:ascii="宋体" w:eastAsia="宋体" w:cs="宋体"/>
          <w:kern w:val="21"/>
          <w:lang w:val="en-US" w:eastAsia="zh-CN"/>
        </w:rPr>
        <w:t>）</w:t>
      </w:r>
      <w:r>
        <w:rPr>
          <w:rFonts w:hint="eastAsia" w:ascii="宋体" w:hAnsi="宋体" w:eastAsia="宋体" w:cs="宋体"/>
          <w:kern w:val="21"/>
          <w:lang w:val="en-US" w:eastAsia="zh-CN"/>
        </w:rPr>
        <w:t>完成执业登记的人员。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7</w:t>
      </w:r>
      <w:r>
        <w:rPr>
          <w:rFonts w:hint="eastAsia" w:ascii="宋体" w:eastAsia="宋体" w:cs="宋体"/>
          <w:kern w:val="21"/>
          <w:lang w:val="en-US" w:eastAsia="zh-CN"/>
        </w:rPr>
        <w:t>．</w:t>
      </w:r>
      <w:r>
        <w:rPr>
          <w:rFonts w:hint="eastAsia" w:ascii="宋体" w:hAnsi="宋体" w:eastAsia="宋体" w:cs="宋体"/>
          <w:kern w:val="21"/>
          <w:lang w:val="en-US" w:eastAsia="zh-CN"/>
        </w:rPr>
        <w:t>本措施所支持的深港（澳）联营税务师事务所指根据《国家税务总局深圳市税务局关于发布〈港澳涉税专业人士在中国（广东）自由贸易试验区深圳前海蛇口片区执业管理暂行办法〉的公告》由至少一名已进行执业登记的港澳涉税专业人士与内地税务师事务所共同发起设立的税务师事务所。</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8</w:t>
      </w:r>
      <w:r>
        <w:rPr>
          <w:rFonts w:hint="eastAsia" w:ascii="宋体" w:eastAsia="宋体" w:cs="宋体"/>
          <w:kern w:val="21"/>
          <w:lang w:val="en-US" w:eastAsia="zh-CN"/>
        </w:rPr>
        <w:t>．</w:t>
      </w:r>
      <w:r>
        <w:rPr>
          <w:rFonts w:hint="eastAsia" w:ascii="宋体" w:hAnsi="宋体" w:eastAsia="宋体" w:cs="宋体"/>
          <w:kern w:val="21"/>
          <w:lang w:val="en-US" w:eastAsia="zh-CN"/>
        </w:rPr>
        <w:t>本措施所称“聘用”应同时符合以下条件：与符合条件的机构签订</w:t>
      </w:r>
      <w:r>
        <w:rPr>
          <w:rFonts w:hint="eastAsia" w:ascii="宋体" w:eastAsia="宋体" w:cs="宋体"/>
          <w:kern w:val="21"/>
          <w:lang w:val="en-US" w:eastAsia="zh-CN"/>
        </w:rPr>
        <w:t>1</w:t>
      </w:r>
      <w:r>
        <w:rPr>
          <w:rFonts w:hint="eastAsia" w:ascii="宋体" w:hAnsi="宋体" w:eastAsia="宋体" w:cs="宋体"/>
          <w:kern w:val="21"/>
          <w:lang w:val="en-US" w:eastAsia="zh-CN"/>
        </w:rPr>
        <w:t>年以上劳动合同；在符合条件的机构连续工作</w:t>
      </w:r>
      <w:r>
        <w:rPr>
          <w:rFonts w:hint="eastAsia" w:ascii="宋体" w:eastAsia="宋体" w:cs="宋体"/>
          <w:kern w:val="21"/>
          <w:lang w:val="en-US" w:eastAsia="zh-CN"/>
        </w:rPr>
        <w:t>1</w:t>
      </w:r>
      <w:r>
        <w:rPr>
          <w:rFonts w:hint="eastAsia" w:ascii="宋体" w:hAnsi="宋体" w:eastAsia="宋体" w:cs="宋体"/>
          <w:kern w:val="21"/>
          <w:lang w:val="en-US" w:eastAsia="zh-CN"/>
        </w:rPr>
        <w:t>年以上，在符合条件的不同机构的工作时间可合并计算（出现中断情况的，不得合并计算）。</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9</w:t>
      </w:r>
      <w:r>
        <w:rPr>
          <w:rFonts w:hint="eastAsia" w:ascii="宋体" w:eastAsia="宋体" w:cs="宋体"/>
          <w:kern w:val="21"/>
          <w:lang w:val="en-US" w:eastAsia="zh-CN"/>
        </w:rPr>
        <w:t>．</w:t>
      </w:r>
      <w:r>
        <w:rPr>
          <w:rFonts w:hint="eastAsia" w:ascii="宋体" w:hAnsi="宋体" w:eastAsia="宋体" w:cs="宋体"/>
          <w:kern w:val="21"/>
          <w:lang w:val="en-US" w:eastAsia="zh-CN"/>
        </w:rPr>
        <w:t>本措施中全国百强税务师事务所指由中国注册税务师协会发布的最近三个年度的税务师事务所经营收入前百家名单。</w:t>
      </w:r>
    </w:p>
    <w:p>
      <w:pPr>
        <w:pStyle w:val="2"/>
        <w:keepNext w:val="0"/>
        <w:keepLines w:val="0"/>
        <w:pageBreakBefore w:val="0"/>
        <w:widowControl w:val="0"/>
        <w:kinsoku/>
        <w:wordWrap/>
        <w:overflowPunct/>
        <w:topLinePunct w:val="0"/>
        <w:autoSpaceDE/>
        <w:autoSpaceDN/>
        <w:bidi w:val="0"/>
        <w:adjustRightInd w:val="0"/>
        <w:snapToGrid w:val="0"/>
        <w:spacing w:after="0" w:afterLines="0" w:line="410" w:lineRule="atLeast"/>
        <w:ind w:left="0" w:leftChars="0" w:firstLine="480" w:firstLineChars="200"/>
        <w:jc w:val="both"/>
        <w:textAlignment w:val="auto"/>
        <w:rPr>
          <w:rFonts w:hint="eastAsia" w:ascii="宋体" w:hAnsi="宋体" w:eastAsia="宋体" w:cs="宋体"/>
          <w:kern w:val="21"/>
          <w:lang w:val="en-US" w:eastAsia="zh-CN"/>
        </w:rPr>
      </w:pPr>
      <w:r>
        <w:rPr>
          <w:rFonts w:hint="eastAsia" w:ascii="宋体" w:hAnsi="宋体" w:eastAsia="宋体" w:cs="宋体"/>
          <w:kern w:val="21"/>
          <w:lang w:val="en-US" w:eastAsia="zh-CN"/>
        </w:rPr>
        <w:t>10</w:t>
      </w:r>
      <w:r>
        <w:rPr>
          <w:rFonts w:hint="eastAsia" w:ascii="宋体" w:eastAsia="宋体" w:cs="宋体"/>
          <w:kern w:val="21"/>
          <w:lang w:val="en-US" w:eastAsia="zh-CN"/>
        </w:rPr>
        <w:t>．</w:t>
      </w:r>
      <w:r>
        <w:rPr>
          <w:rFonts w:hint="eastAsia" w:ascii="宋体" w:hAnsi="宋体" w:eastAsia="宋体" w:cs="宋体"/>
          <w:kern w:val="21"/>
          <w:lang w:val="en-US" w:eastAsia="zh-CN"/>
        </w:rPr>
        <w:t>本措施自2023年5月15日起实施，有效期</w:t>
      </w:r>
      <w:r>
        <w:rPr>
          <w:rFonts w:hint="eastAsia" w:ascii="宋体" w:eastAsia="宋体" w:cs="宋体"/>
          <w:kern w:val="21"/>
          <w:lang w:val="en-US" w:eastAsia="zh-CN"/>
        </w:rPr>
        <w:t>3</w:t>
      </w:r>
      <w:r>
        <w:rPr>
          <w:rFonts w:hint="eastAsia" w:ascii="宋体" w:hAnsi="宋体" w:eastAsia="宋体" w:cs="宋体"/>
          <w:kern w:val="21"/>
          <w:lang w:val="en-US" w:eastAsia="zh-CN"/>
        </w:rPr>
        <w:t>年。</w:t>
      </w:r>
    </w:p>
    <w:p/>
    <w:sectPr>
      <w:headerReference r:id="rId3" w:type="default"/>
      <w:footerReference r:id="rId4" w:type="default"/>
      <w:footerReference r:id="rId5" w:type="even"/>
      <w:footnotePr>
        <w:numFmt w:val="decimalEnclosedCircleChinese"/>
      </w:footnotePr>
      <w:pgSz w:w="11906" w:h="16838"/>
      <w:pgMar w:top="2268" w:right="1417" w:bottom="2268" w:left="1587" w:header="1417" w:footer="1417"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0"/>
                              <w:rFonts w:ascii="Times New Roman" w:hAnsi="Times New Roman"/>
                            </w:rPr>
                          </w:pPr>
                          <w:r>
                            <w:rPr>
                              <w:rFonts w:ascii="Times New Roman" w:hAnsi="Times New Roman"/>
                            </w:rPr>
                            <w:fldChar w:fldCharType="begin"/>
                          </w:r>
                          <w:r>
                            <w:rPr>
                              <w:rStyle w:val="10"/>
                              <w:rFonts w:ascii="Times New Roman" w:hAnsi="Times New Roman"/>
                            </w:rPr>
                            <w:instrText xml:space="preserve">PAGE  </w:instrText>
                          </w:r>
                          <w:r>
                            <w:rPr>
                              <w:rFonts w:ascii="Times New Roman" w:hAnsi="Times New Roman"/>
                            </w:rPr>
                            <w:fldChar w:fldCharType="separate"/>
                          </w:r>
                          <w:r>
                            <w:rPr>
                              <w:rStyle w:val="10"/>
                              <w:rFonts w:ascii="Times New Roman" w:hAnsi="Times New Roman"/>
                            </w:rPr>
                            <w:t>8</w:t>
                          </w:r>
                          <w:r>
                            <w:rPr>
                              <w:rFonts w:ascii="Times New Roman" w:hAnsi="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Style w:val="10"/>
                        <w:rFonts w:ascii="Times New Roman" w:hAnsi="Times New Roman"/>
                      </w:rPr>
                    </w:pPr>
                    <w:r>
                      <w:rPr>
                        <w:rFonts w:ascii="Times New Roman" w:hAnsi="Times New Roman"/>
                      </w:rPr>
                      <w:fldChar w:fldCharType="begin"/>
                    </w:r>
                    <w:r>
                      <w:rPr>
                        <w:rStyle w:val="10"/>
                        <w:rFonts w:ascii="Times New Roman" w:hAnsi="Times New Roman"/>
                      </w:rPr>
                      <w:instrText xml:space="preserve">PAGE  </w:instrText>
                    </w:r>
                    <w:r>
                      <w:rPr>
                        <w:rFonts w:ascii="Times New Roman" w:hAnsi="Times New Roman"/>
                      </w:rPr>
                      <w:fldChar w:fldCharType="separate"/>
                    </w:r>
                    <w:r>
                      <w:rPr>
                        <w:rStyle w:val="10"/>
                        <w:rFonts w:ascii="Times New Roman" w:hAnsi="Times New Roman"/>
                      </w:rPr>
                      <w:t>8</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distribute"/>
    </w:pPr>
    <w:r>
      <w:rPr>
        <w:rFonts w:hint="eastAsia" w:ascii="宋体" w:hAnsi="宋体"/>
      </w:rPr>
      <w:t>深圳市人民政府公报                                                                202</w:t>
    </w:r>
    <w:r>
      <w:rPr>
        <w:rFonts w:hint="eastAsia" w:ascii="宋体" w:hAnsi="宋体"/>
        <w:lang w:val="en-US" w:eastAsia="zh-CN"/>
      </w:rPr>
      <w:t>3</w:t>
    </w:r>
    <w:r>
      <w:rPr>
        <w:rFonts w:hint="eastAsia" w:ascii="宋体" w:hAnsi="宋体"/>
      </w:rPr>
      <w:t>年第</w:t>
    </w:r>
    <w:r>
      <w:rPr>
        <w:rFonts w:hint="eastAsia" w:ascii="宋体" w:hAnsi="宋体"/>
        <w:lang w:val="en-US" w:eastAsia="zh-CN"/>
      </w:rPr>
      <w:t>16</w:t>
    </w:r>
    <w:r>
      <w:rPr>
        <w:rFonts w:hint="eastAsia" w:ascii="宋体" w:hAnsi="宋体"/>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4B9662DF"/>
    <w:rsid w:val="4B96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3"/>
    <w:qFormat/>
    <w:uiPriority w:val="0"/>
    <w:pPr>
      <w:spacing w:line="400" w:lineRule="atLeast"/>
      <w:ind w:firstLine="480" w:firstLineChars="200"/>
      <w:outlineLvl w:val="0"/>
    </w:pPr>
    <w:rPr>
      <w:rFonts w:ascii="黑体" w:hAnsi="宋体" w:eastAsia="黑体"/>
      <w:bCs/>
      <w:kern w:val="44"/>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5"/>
    <w:qFormat/>
    <w:uiPriority w:val="0"/>
    <w:pPr>
      <w:ind w:firstLine="420" w:firstLineChars="200"/>
    </w:pPr>
  </w:style>
  <w:style w:type="paragraph" w:customStyle="1" w:styleId="5">
    <w:name w:val="正文_0_0"/>
    <w:next w:val="4"/>
    <w:qFormat/>
    <w:uiPriority w:val="0"/>
    <w:pPr>
      <w:widowControl w:val="0"/>
      <w:jc w:val="both"/>
    </w:pPr>
    <w:rPr>
      <w:rFonts w:ascii="Calibri" w:hAnsi="Calibri" w:eastAsia="宋体" w:cs="Times New Roman"/>
      <w:kern w:val="2"/>
      <w:sz w:val="21"/>
      <w:szCs w:val="24"/>
      <w:lang w:val="en-US" w:eastAsia="zh-CN" w:bidi="ar-SA"/>
    </w:rPr>
  </w:style>
  <w:style w:type="paragraph" w:styleId="6">
    <w:name w:val="footer"/>
    <w:basedOn w:val="1"/>
    <w:unhideWhenUsed/>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paragraph" w:customStyle="1" w:styleId="11">
    <w:name w:val="Char Char1 Char Char Char Char Char Char"/>
    <w:basedOn w:val="1"/>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2023-05-24T03:36:00Z</dcterms:created>
  <dc:creator>龙瑶</dc:creator>
  <cp:lastModifiedBy>龙瑶</cp:lastModifiedBy>
  <dcterms:modified xsi:type="dcterms:W3CDTF">2023-05-24T03:36:29Z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61C88A62DE304F19AAAF4A8F93EA40DD_11</vt:lpwstr>
  </property>
</Properties>
</file>