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深圳市商务局202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年度中央资金（中小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外贸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企业远期结售汇担保费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资助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事项）申报指南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一、支持领域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鼓励支持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中小微外贸企业基于实需原则开展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银行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远期结售汇业务，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对企业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依托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融资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担保机构提供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专项授信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担保免除保证金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支付的担保费用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给予资助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进一步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降低外贸企业汇率避险成本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力促我市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外贸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保稳提质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二、设定依据</w:t>
      </w:r>
    </w:p>
    <w:p>
      <w:pPr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根据相关文件设定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三、支持数量和支持方式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beforeLines="0" w:afterLines="0" w:line="560" w:lineRule="exact"/>
        <w:ind w:firstLine="645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（一）支持数量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beforeLines="0" w:afterLines="0" w:line="560" w:lineRule="exact"/>
        <w:ind w:firstLine="645"/>
        <w:textAlignment w:val="auto"/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有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限制，受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财政部、商务部下达年度资金预算控制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以百元为单位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按舍尾法取整，且原则上不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得大于实际发生/投入金额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市商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务局视申报情况和预算安排，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据以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对资助金额、支持比例和拨付进度等进行统一调整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  <w:lang w:val="en-US" w:eastAsia="zh-CN"/>
        </w:rPr>
        <w:t>申报单位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32"/>
        </w:rPr>
        <w:t>应无条件同意调整结果。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事后资助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基础条件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申报单位为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在深圳市行政区域内依法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注册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独立法人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资格的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企业</w:t>
      </w:r>
      <w:r>
        <w:rPr>
          <w:rFonts w:hint="default" w:ascii="仿宋_GB2312" w:hAns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未被国家、省、市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关部门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入严重失信主体名单实施失信惩戒，明确限制申请财政性资金项目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且在限制期内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不存在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严重违法违规行为，未拖欠应缴还的财政性资金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4.申报单位应承担资金真实申报、合规使用和有效管理；应对申报材料的真实性、合法性、完整性负责，应如实提供本单位信用状况，承担违约责任并作出承诺，不得弄虚作假、套取、骗取财政资金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1159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申报项目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同一事项</w:t>
      </w:r>
      <w:r>
        <w:rPr>
          <w:rFonts w:hint="default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从其他渠道获得中央财政资金支持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专项</w:t>
      </w:r>
      <w:r>
        <w:rPr>
          <w:rFonts w:hint="eastAsia" w:ascii="楷体_GB2312" w:hAnsi="楷体_GB2312" w:eastAsia="楷体_GB2312" w:cs="楷体_GB2312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中小微外贸企业是指在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深圳市内从事外贸业务的中小微企业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中小微企业鉴定标准按照《中小企业划型标准规定》（工信部联企业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300号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）执行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报项目应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（以担保费发票开具日期为准）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lang w:val="en-US" w:eastAsia="zh-CN" w:bidi="ar-SA"/>
        </w:rPr>
        <w:t>通过融资担保机构提供为期一年的专项担保，以综合授信担保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替换保证金模式在银行办理远期结售汇业务，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并实际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支付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担保费用</w:t>
      </w:r>
      <w:r>
        <w:rPr>
          <w:rFonts w:hint="default" w:ascii="仿宋_GB2312" w:hAnsi="宋体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theme="minorBidi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应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依托融资担保机构提供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远期结售汇业务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综合授信担保，最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高授信额度不超过1000万元，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单笔到期日不超过额度到期日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4.申报企业</w:t>
      </w:r>
      <w:r>
        <w:rPr>
          <w:rFonts w:hint="default" w:ascii="仿宋_GB2312" w:hAnsi="宋体" w:eastAsia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与银行签署远期结售汇业务相关协议书或合同，为确定信用额度可签署授信额度合同（或资金交易额度合同），或在业务协议中约定授信额度和期限，并与融资性担保机构签署委托保证合同。</w:t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五、支持内容和支持标准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（一）支持内容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支持我市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中小微外贸企业基于实需原则开展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银行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远期结售汇业务，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对企业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依托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融资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担保机构提供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专项授信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担保免除保证金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支付的担保费用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给予资助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150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1.对我市中小微</w:t>
      </w:r>
      <w:r>
        <w:rPr>
          <w:rFonts w:hint="default" w:ascii="仿宋_GB2312" w:hAnsi="宋体" w:eastAsia="仿宋_GB2312"/>
          <w:color w:val="000000"/>
          <w:sz w:val="32"/>
          <w:szCs w:val="32"/>
          <w:lang w:eastAsia="zh-CN"/>
        </w:rPr>
        <w:t>外贸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依托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融资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担保机构提供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为期一年的专项授信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免除保证金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开展银行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远期结售汇业务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支付</w:t>
      </w:r>
      <w:r>
        <w:rPr>
          <w:rFonts w:hint="default" w:ascii="仿宋_GB2312" w:hAnsi="宋体" w:eastAsia="仿宋_GB2312"/>
          <w:color w:val="000000"/>
          <w:sz w:val="32"/>
          <w:szCs w:val="32"/>
        </w:rPr>
        <w:t>融资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担保机构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最高不超过授信额度1%的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担保费用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给予全额资助。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2.企业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未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实际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开展远期结售汇业务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因企业违约，银行对企业远期合约进行强制（反向）平仓交易</w:t>
      </w:r>
      <w:r>
        <w:rPr>
          <w:rFonts w:hint="default" w:ascii="仿宋_GB2312" w:hAnsi="宋体" w:eastAsia="仿宋_GB2312" w:cstheme="minorBidi"/>
          <w:color w:val="000000"/>
          <w:kern w:val="2"/>
          <w:sz w:val="32"/>
          <w:szCs w:val="32"/>
          <w:lang w:eastAsia="zh-CN" w:bidi="ar-SA"/>
        </w:rPr>
        <w:t>的</w:t>
      </w: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，均不在本资助事项范围内。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六、申报材料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申报材料由基础材料和专项材料两部分组成。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hAnsi="华文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hAnsi="华文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华文楷体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）基本材料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1．登录广东政务服务网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在线填报申请书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（http://www.gdzwfw.gov.cn/）—深圳市—市商务局—搜索中小微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eastAsia="zh-CN" w:bidi="ar-SA"/>
        </w:rPr>
        <w:t>外贸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企业远期结售汇担保费资助事项，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提供通过该系统打印的申请书纸质文件原件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2.企业营业执照</w:t>
      </w:r>
      <w:r>
        <w:rPr>
          <w:rFonts w:hint="default" w:ascii="仿宋_GB2312" w:eastAsia="仿宋_GB2312" w:cs="Times New Roman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电子版</w:t>
      </w:r>
      <w:r>
        <w:rPr>
          <w:rFonts w:hint="default" w:ascii="仿宋_GB2312" w:eastAsia="仿宋_GB2312" w:cs="Times New Roman"/>
          <w:kern w:val="2"/>
          <w:sz w:val="32"/>
          <w:szCs w:val="32"/>
          <w:lang w:eastAsia="zh-CN" w:bidi="ar-SA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）项目材料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1.企业申请材料。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申报企业与</w:t>
      </w:r>
      <w:r>
        <w:rPr>
          <w:rFonts w:hint="default" w:ascii="仿宋_GB2312" w:hAnsi="宋体" w:eastAsia="仿宋_GB2312" w:cstheme="minorBidi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银行签订的授信额度协议书或合同（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且协议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CN" w:bidi="ar-SA"/>
          <w14:textFill>
            <w14:solidFill>
              <w14:schemeClr w14:val="tx1"/>
            </w14:solidFill>
          </w14:textFill>
        </w:rPr>
        <w:t>书或合同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约定授信应包含远期结售汇业务</w:t>
      </w:r>
      <w:r>
        <w:rPr>
          <w:rFonts w:hint="default" w:ascii="仿宋_GB2312" w:hAnsi="宋体" w:eastAsia="仿宋_GB2312" w:cstheme="minorBidi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）；申报企业与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融资担保</w:t>
      </w:r>
      <w:r>
        <w:rPr>
          <w:rFonts w:hint="default" w:ascii="仿宋_GB2312" w:hAnsi="宋体" w:eastAsia="仿宋_GB2312" w:cstheme="minorBidi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签订的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委托保证合同</w:t>
      </w:r>
      <w:r>
        <w:rPr>
          <w:rFonts w:hint="default" w:ascii="仿宋_GB2312" w:hAnsi="宋体" w:eastAsia="仿宋_GB2312" w:cstheme="minorBidi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担保费发票、担保费银行回单。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以上材料均</w:t>
      </w:r>
      <w:r>
        <w:rPr>
          <w:rFonts w:hint="default" w:ascii="仿宋_GB2312" w:eastAsia="仿宋_GB2312"/>
          <w:color w:val="auto"/>
          <w:sz w:val="32"/>
          <w:szCs w:val="32"/>
        </w:rPr>
        <w:t>为复印件，</w:t>
      </w:r>
      <w:r>
        <w:rPr>
          <w:rFonts w:hint="eastAsia" w:ascii="仿宋_GB2312" w:eastAsia="仿宋_GB2312"/>
          <w:color w:val="auto"/>
          <w:sz w:val="32"/>
          <w:szCs w:val="32"/>
        </w:rPr>
        <w:t>需加盖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</w:rPr>
        <w:t>公章，多页的还需加盖骑缝公章；涉及外文的，需提供中文翻译件；一式两份，A4纸正反面打印/复印，非空白页（含封面）需连续编写页码，装订成册（胶装）。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融资</w:t>
      </w:r>
      <w:r>
        <w:rPr>
          <w:rFonts w:hint="eastAsia" w:ascii="仿宋_GB2312" w:hAnsi="宋体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担保机构和银行机构核实。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融资担保机构负责提供由银行确认的远期结售汇业务台账，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内容应包括申报企业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远期结售汇业务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授信额度、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首笔金额及起始日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</w:rPr>
        <w:t>最后一笔金额及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到期日等信息，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并加盖银行业务专用章。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融资担保机构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负责核实申报企业提交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委托保证合同</w:t>
      </w:r>
      <w:r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  <w:t>、担保费发票等材料的真实性，并加盖融资担保机构公章。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  <w:t>（3）如申报企业</w:t>
      </w:r>
      <w:r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lang w:val="en-US" w:eastAsia="zh-CN" w:bidi="ar-SA"/>
        </w:rPr>
        <w:t>与银行签订的授信额度协议</w:t>
      </w:r>
      <w:r>
        <w:rPr>
          <w:rFonts w:hint="default" w:ascii="仿宋_GB2312" w:hAnsi="宋体" w:eastAsia="仿宋_GB2312" w:cstheme="minorBidi"/>
          <w:color w:val="auto"/>
          <w:kern w:val="2"/>
          <w:sz w:val="32"/>
          <w:szCs w:val="32"/>
          <w:lang w:eastAsia="zh-CN" w:bidi="ar-SA"/>
        </w:rPr>
        <w:t>书或合同中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约定授信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eastAsia="zh-CN" w:bidi="ar-SA"/>
          <w14:textFill>
            <w14:solidFill>
              <w14:schemeClr w14:val="tx1"/>
            </w14:solidFill>
          </w14:textFill>
        </w:rPr>
        <w:t>未明确</w:t>
      </w:r>
      <w:r>
        <w:rPr>
          <w:rFonts w:hint="default" w:ascii="仿宋_GB2312" w:hAnsi="宋体" w:eastAsia="仿宋_GB2312" w:cstheme="minorBidi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/>
          <w:lang w:val="en-US" w:eastAsia="zh-CN" w:bidi="ar-SA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宋体" w:eastAsia="仿宋_GB2312" w:cstheme="minorBidi"/>
          <w:color w:val="auto"/>
          <w:kern w:val="2"/>
          <w:sz w:val="32"/>
          <w:szCs w:val="32"/>
          <w:lang w:val="en-US" w:eastAsia="zh-CN" w:bidi="ar-SA"/>
        </w:rPr>
        <w:t>远期结售汇业务</w:t>
      </w:r>
      <w:r>
        <w:rPr>
          <w:rFonts w:hint="default" w:ascii="仿宋_GB2312" w:hAnsi="宋体" w:eastAsia="仿宋_GB2312" w:cstheme="minorBidi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，融资担保机构会同银行负责提供相关证明材料。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七、申请表格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本指南第六条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）规定申请书。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八、受理信息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（一）受理机关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深圳市商务局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（二）受理时间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1.网络填</w:t>
      </w:r>
      <w:r>
        <w:rPr>
          <w:rFonts w:hint="eastAsia" w:ascii="Times New Roman" w:hAnsi="Times New Roman" w:eastAsia="仿宋_GB2312"/>
          <w:sz w:val="32"/>
          <w:szCs w:val="32"/>
        </w:rPr>
        <w:t>报时间：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日9:00—202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28</w:t>
      </w:r>
      <w:r>
        <w:rPr>
          <w:rFonts w:hint="eastAsia" w:ascii="仿宋_GB2312" w:hAnsi="宋体" w:eastAsia="仿宋_GB2312"/>
          <w:sz w:val="32"/>
          <w:szCs w:val="32"/>
        </w:rPr>
        <w:t>日17:45;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2.纸质材料提交时间：202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日9:00—202</w:t>
      </w:r>
      <w:r>
        <w:rPr>
          <w:rFonts w:hint="default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default"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default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日17:45；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申报单位在上述规定时间内在线填报、提交材料，逾期不予受理。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）受理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深圳市福田区福中三路市民中心B区市政务服务中心西厅综合窗口。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645" w:leftChars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咨询电话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645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项目申报咨询电话：0755-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88102470、88916837；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技术服务电话：0755-</w:t>
      </w:r>
      <w:r>
        <w:rPr>
          <w:rFonts w:ascii="仿宋_GB2312" w:hAnsi="仿宋_GB2312" w:eastAsia="仿宋_GB2312" w:cs="仿宋_GB2312"/>
          <w:sz w:val="32"/>
          <w:szCs w:val="32"/>
        </w:rPr>
        <w:t>88102445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九、申请决定机关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深圳市商务局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keepNext w:val="0"/>
        <w:keepLines w:val="0"/>
        <w:pageBreakBefore w:val="0"/>
        <w:tabs>
          <w:tab w:val="center" w:pos="4153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十、办理流程</w:t>
      </w:r>
      <w:r>
        <w:rPr>
          <w:rFonts w:hint="eastAsia" w:ascii="黑体" w:hAnsi="黑体" w:eastAsia="黑体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市商务局发布申报指南——申报单位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网上申报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eastAsia="zh-CN" w:bidi="ar"/>
        </w:rPr>
        <w:t>市商务局网上初审——申报单位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提交申请材料——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 w:bidi="ar"/>
        </w:rPr>
        <w:t>市商务局开展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形式审查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专项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审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eastAsia="zh-CN" w:bidi="ar"/>
        </w:rPr>
        <w:t>计——资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质审查（根据需要核查比对：资质情况、统计数据，是否存在重复资助情形、有否被列入失信惩戒名单、有无重大违法违规行为、有无拖欠应缴还的财政性资金等情况）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拟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定资助计划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社会公示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——通知申报单位提交拨付资料——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bidi="ar"/>
        </w:rPr>
        <w:t>拨付资金。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十一、办理时限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截止日起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90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个工作日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十二、证件及有效期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证件：无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有效期限：无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十三、证件的法律效力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十四、收费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十五、年审或年检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十六、监督检查和补充说明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市商务</w:t>
      </w:r>
      <w:r>
        <w:rPr>
          <w:rFonts w:hint="eastAsia" w:ascii="仿宋_GB2312" w:eastAsia="仿宋_GB2312"/>
          <w:color w:val="auto"/>
          <w:sz w:val="32"/>
          <w:szCs w:val="32"/>
        </w:rPr>
        <w:t>局从未委托任何单位和个人为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</w:rPr>
        <w:t>代理专项资金扶持计划项目申报事宜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，申报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单位应</w:t>
      </w:r>
      <w:r>
        <w:rPr>
          <w:rFonts w:hint="eastAsia" w:ascii="仿宋_GB2312" w:eastAsia="仿宋_GB2312"/>
          <w:color w:val="auto"/>
          <w:sz w:val="32"/>
          <w:szCs w:val="32"/>
        </w:rPr>
        <w:t>自主申报。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color w:val="auto"/>
          <w:sz w:val="32"/>
          <w:szCs w:val="32"/>
        </w:rPr>
        <w:t>局严格按照有关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</w:rPr>
        <w:t>和程序受理申请，不收取任何费用。如有任何中介机构和个人假借我局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</w:rPr>
        <w:t>工作人员名义向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</w:rPr>
        <w:t>收取费用的，请向我局举报。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）获得资金支持的申报单位，应当按照国家有关财务制度规定进行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管理和使用，按照国家统一的会计制度进行会计核算，</w:t>
      </w:r>
      <w:r>
        <w:rPr>
          <w:rFonts w:hint="eastAsia" w:ascii="仿宋_GB2312" w:eastAsia="仿宋_GB2312"/>
          <w:color w:val="auto"/>
          <w:sz w:val="32"/>
          <w:szCs w:val="32"/>
        </w:rPr>
        <w:t>并自觉接受财政、商务、审计等部门的监督检查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配合商务部门开展业务、资金统计监测，妥善保管项目申报材料。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）申报单位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部门收回资金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申报单位在项目申报期间发生企业名称、联系信息变更的，应及时联系并提供变更材料，如因未及时变更产生的后果由企业自行承担。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资助拨款按照申请书银行账户信息办理。因账户信息更改或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填写错误等原因导致拨付不成功的，原则上予以办理一次拨款信息更改并再次拨付。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申报单位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应按照要求办理资金拨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手续。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F071A"/>
    <w:multiLevelType w:val="singleLevel"/>
    <w:tmpl w:val="9E6F071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WU1YTk1MjNjZGQ4NDY1MmNhNTBiYjcxMTA1ODUifQ=="/>
  </w:docVars>
  <w:rsids>
    <w:rsidRoot w:val="70316526"/>
    <w:rsid w:val="11F70BD2"/>
    <w:rsid w:val="15B15BD1"/>
    <w:rsid w:val="15E0527B"/>
    <w:rsid w:val="18024FAD"/>
    <w:rsid w:val="1EC5D932"/>
    <w:rsid w:val="1EF2BC08"/>
    <w:rsid w:val="1F7EB7DD"/>
    <w:rsid w:val="24B05DDB"/>
    <w:rsid w:val="257F7C50"/>
    <w:rsid w:val="26ED227C"/>
    <w:rsid w:val="2EF9A07A"/>
    <w:rsid w:val="30931533"/>
    <w:rsid w:val="3EE99B7E"/>
    <w:rsid w:val="3EFF7E39"/>
    <w:rsid w:val="3F7FB060"/>
    <w:rsid w:val="3FFD9D27"/>
    <w:rsid w:val="41065488"/>
    <w:rsid w:val="46FF57DD"/>
    <w:rsid w:val="48784A26"/>
    <w:rsid w:val="494D7EDB"/>
    <w:rsid w:val="4AFF7E9B"/>
    <w:rsid w:val="54151333"/>
    <w:rsid w:val="56193A71"/>
    <w:rsid w:val="675F4382"/>
    <w:rsid w:val="6CEB0623"/>
    <w:rsid w:val="6D7F9E3F"/>
    <w:rsid w:val="70316526"/>
    <w:rsid w:val="75FF08EA"/>
    <w:rsid w:val="77F3A9F8"/>
    <w:rsid w:val="7AE747A5"/>
    <w:rsid w:val="7B0F6449"/>
    <w:rsid w:val="7B9F1FAC"/>
    <w:rsid w:val="7BDBC2B1"/>
    <w:rsid w:val="7BE37F18"/>
    <w:rsid w:val="7D182BEC"/>
    <w:rsid w:val="7D7E4A12"/>
    <w:rsid w:val="7E082CAF"/>
    <w:rsid w:val="7EDFE983"/>
    <w:rsid w:val="7F7FA140"/>
    <w:rsid w:val="7FA31B3F"/>
    <w:rsid w:val="7FFED072"/>
    <w:rsid w:val="ADFF69F6"/>
    <w:rsid w:val="BBFF32CB"/>
    <w:rsid w:val="BEFB3BE0"/>
    <w:rsid w:val="BFB702B2"/>
    <w:rsid w:val="C67E8AB6"/>
    <w:rsid w:val="D5F6100E"/>
    <w:rsid w:val="DFEDB1F6"/>
    <w:rsid w:val="EB7B6232"/>
    <w:rsid w:val="EF7D8919"/>
    <w:rsid w:val="EFE5C11D"/>
    <w:rsid w:val="F266881D"/>
    <w:rsid w:val="F57C3A80"/>
    <w:rsid w:val="F59D724E"/>
    <w:rsid w:val="F5F7108D"/>
    <w:rsid w:val="F83FBB85"/>
    <w:rsid w:val="F8E7DA42"/>
    <w:rsid w:val="F9D42FE9"/>
    <w:rsid w:val="FBBF9056"/>
    <w:rsid w:val="FBFE145A"/>
    <w:rsid w:val="FEFF4E37"/>
    <w:rsid w:val="FF5D2543"/>
    <w:rsid w:val="FF68762D"/>
    <w:rsid w:val="FFDD642C"/>
    <w:rsid w:val="FFE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80" w:lineRule="exact"/>
      <w:ind w:left="0" w:leftChars="0" w:firstLine="420" w:firstLineChars="200"/>
    </w:pPr>
    <w:rPr>
      <w:rFonts w:ascii="宋体" w:hAnsi="宋体"/>
      <w:spacing w:val="20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paragraph" w:customStyle="1" w:styleId="11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仿宋_GB2312"/>
      <w:sz w:val="32"/>
      <w:szCs w:val="32"/>
    </w:rPr>
  </w:style>
  <w:style w:type="paragraph" w:customStyle="1" w:styleId="12">
    <w:name w:val="样式1"/>
    <w:basedOn w:val="1"/>
    <w:qFormat/>
    <w:uiPriority w:val="0"/>
    <w:pPr>
      <w:spacing w:line="600" w:lineRule="exact"/>
    </w:pPr>
    <w:rPr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2603</Words>
  <Characters>2715</Characters>
  <Lines>0</Lines>
  <Paragraphs>0</Paragraphs>
  <TotalTime>123</TotalTime>
  <ScaleCrop>false</ScaleCrop>
  <LinksUpToDate>false</LinksUpToDate>
  <CharactersWithSpaces>2725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2022-05-18T09:48:00Z</dcterms:created>
  <dc:creator>叶花</dc:creator>
  <cp:lastModifiedBy>叶花</cp:lastModifiedBy>
  <cp:lastPrinted>2022-07-06T14:33:00Z</cp:lastPrinted>
  <dcterms:modified xsi:type="dcterms:W3CDTF">2023-04-18T15:50:38Z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91ED30CED8EB419F9D2F6A55E9662A25</vt:lpwstr>
  </property>
</Properties>
</file>