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/>
        <w:ind w:firstLine="420"/>
        <w:jc w:val="center"/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hAnsi="华文中宋" w:eastAsia="方正小标宋简体" w:cs="黑体"/>
          <w:b w:val="0"/>
          <w:bCs/>
          <w:sz w:val="44"/>
          <w:szCs w:val="44"/>
        </w:rPr>
        <w:t>202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年度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</w:rPr>
        <w:t>知识产权运营机构奖励项目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申报指</w:t>
      </w:r>
      <w:r>
        <w:rPr>
          <w:rFonts w:hint="default" w:ascii="方正小标宋简体" w:hAnsi="华文中宋" w:eastAsia="方正小标宋简体" w:cs="黑体"/>
          <w:b w:val="0"/>
          <w:bCs w:val="0"/>
          <w:sz w:val="44"/>
          <w:szCs w:val="44"/>
        </w:rPr>
        <w:t>南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知识产权运营机构奖励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深市监规〔2022〕10号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每年评选不超过3家，每家奖励20万元。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本条与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程第十一条（</w:t>
      </w:r>
      <w:r>
        <w:rPr>
          <w:rFonts w:hint="eastAsia" w:ascii="仿宋_GB2312" w:hAnsi="华文中宋" w:eastAsia="仿宋_GB2312" w:cs="黑体"/>
          <w:bCs/>
          <w:sz w:val="32"/>
          <w:szCs w:val="32"/>
        </w:rPr>
        <w:t>深圳市知识产权优势单位资助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）、第三十一条（知识产权服务机构能力提升奖励项目）规定的资助、奖励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同时申报。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当同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下列条件：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申请人属于依法登记注册的企事业单位，登记注册满2年；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在深圳市从事知识产权相关运营活动，且在深圳市拥有稳定办公场所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为深圳市企事业单位、其他机构或个人提供知识产权运营服务；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（三）建立健全知识产权管理制度，设有专门的知识产权运营机构，知识产权运营团队人员结构合理，拥有运营能力突出、经验丰富的专职人员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10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）已独立开展知识产权评估、许可、转让、交易、投融资、产业化、作价入股或专利池集成运作等方面的运营业务，取得较好成效；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）知识产权运营模式在全国或者广东省具有一定影响力，上年度经营状况良好，产生了较好的经济效益；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）近3年内未获得过本条奖励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未被认定为深圳市知识产权优势企业，且未获得过知识产权服务机构能力提升奖励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申请人主体资格材料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default" w:ascii="仿宋_GB2312" w:eastAsia="仿宋_GB2312"/>
          <w:sz w:val="32"/>
          <w:szCs w:val="32"/>
          <w:highlight w:val="none"/>
        </w:rPr>
        <w:t>应该在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从事知识产权相关运营活动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在深圳市拥有稳定办公场所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根据单位性质提交事业单位法人证书等主体资格材料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企业申请人无须提交营业执照</w:t>
      </w:r>
      <w:r>
        <w:rPr>
          <w:rFonts w:hint="default" w:ascii="仿宋_GB2312" w:eastAsia="仿宋_GB2312"/>
          <w:sz w:val="32"/>
          <w:szCs w:val="32"/>
          <w:highlight w:val="none"/>
        </w:rPr>
        <w:t>;</w:t>
      </w:r>
    </w:p>
    <w:p>
      <w:pPr>
        <w:snapToGrid w:val="0"/>
        <w:spacing w:line="560" w:lineRule="exact"/>
        <w:ind w:left="0" w:leftChars="0" w:firstLine="640" w:firstLineChars="200"/>
        <w:rPr>
          <w:rFonts w:hint="default"/>
          <w:lang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申请人自行申报的</w:t>
      </w:r>
      <w:r>
        <w:rPr>
          <w:rFonts w:hint="default" w:ascii="仿宋_GB2312" w:eastAsia="仿宋_GB2312"/>
          <w:sz w:val="32"/>
          <w:szCs w:val="32"/>
          <w:highlight w:val="none"/>
        </w:rPr>
        <w:t>或者</w:t>
      </w:r>
      <w:r>
        <w:rPr>
          <w:rFonts w:hint="eastAsia" w:ascii="仿宋_GB2312" w:eastAsia="仿宋_GB2312"/>
          <w:sz w:val="32"/>
          <w:szCs w:val="32"/>
          <w:highlight w:val="none"/>
        </w:rPr>
        <w:t>委托代办机构申报的，需提交《申报项目委托情况申明》</w:t>
      </w:r>
      <w:r>
        <w:rPr>
          <w:rFonts w:hint="default" w:ascii="仿宋_GB2312" w:eastAsia="仿宋_GB2312"/>
          <w:sz w:val="32"/>
          <w:szCs w:val="32"/>
          <w:highlight w:val="none"/>
        </w:rPr>
        <w:t>（参照系统模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板）及经办人相关资料。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2022年度为深圳市企事业单位、其他机构或个人提供的知识产权运营服务清单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知识产权运营服务清单（系统模板）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并提供对应的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佐证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材料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（如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委托合同、相关业务官方文件等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u w:val="none"/>
        </w:rPr>
        <w:t>）。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知识产权运营机构建设、人员队伍以及管理制度基本情况的相关材料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知识产权运营机构建设</w:t>
      </w:r>
      <w:r>
        <w:rPr>
          <w:rFonts w:hint="eastAsia" w:ascii="仿宋_GB2312" w:eastAsia="仿宋_GB2312"/>
          <w:sz w:val="32"/>
          <w:szCs w:val="32"/>
          <w:highlight w:val="none"/>
        </w:rPr>
        <w:t>相关材料包括但不限于：机构设立情况与组织机构图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业务发展规划或目标等</w:t>
      </w:r>
      <w:r>
        <w:rPr>
          <w:rFonts w:hint="default" w:ascii="仿宋_GB2312" w:eastAsia="仿宋_GB2312"/>
          <w:sz w:val="32"/>
          <w:szCs w:val="32"/>
          <w:highlight w:val="none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2.提交建立健全知识产权管理制度的相关材料；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提交申请人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</w:rPr>
        <w:t>知识产权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运营团队</w:t>
      </w:r>
      <w:r>
        <w:rPr>
          <w:rFonts w:hint="eastAsia" w:ascii="仿宋_GB2312" w:eastAsia="仿宋_GB2312"/>
          <w:sz w:val="32"/>
          <w:szCs w:val="32"/>
          <w:highlight w:val="none"/>
        </w:rPr>
        <w:t>人员名单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（系统模板）</w:t>
      </w:r>
      <w:r>
        <w:rPr>
          <w:rFonts w:hint="eastAsia" w:ascii="仿宋_GB2312" w:eastAsia="仿宋_GB2312"/>
          <w:sz w:val="32"/>
          <w:szCs w:val="32"/>
          <w:highlight w:val="none"/>
        </w:rPr>
        <w:t>，以及</w:t>
      </w:r>
      <w:r>
        <w:rPr>
          <w:rFonts w:hint="default" w:ascii="仿宋_GB2312" w:eastAsia="仿宋_GB2312"/>
          <w:sz w:val="32"/>
          <w:szCs w:val="32"/>
          <w:highlight w:val="none"/>
        </w:rPr>
        <w:t>人员的知识产权相关职业资格情况（专利代理师资格证书、法律职业资格证等）、职称情况（知识产权专业中级或高级技术职称认定文件等）和近3个月（2023年1月-2023年3月）社保缴纳凭证。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知识产权运营工作成效介绍及典型案例材料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1.提交2022年度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开展知识产权评估、许可、转让、交易、投融资、产业化、作价入股或专利池集成运作等方面的运营业务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2.提交2022年度开展运营工作的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工作总结，含具体工作方式，工作亮点，工作成绩等，并提供相关佐证材料和典型案例。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2022年度经营状况良好，产生了较好的经济效益的相关材料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1.提交2022年度财务审计报告或财务报表；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2.提供情况说明，含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知识产权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运营模式的影响力介绍及运营的经营状况、经济效益等情况。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00截止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</w:rPr>
        <w:t>使用360（极速模式）、火狐等浏览器软件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知识产权运营机构奖励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”，阅读并勾选同意《广东省网上办事大厅服务条款》内容，点击“下一步”进入申报；或者登录广东政务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知识产权运营机构奖励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）”</w:t>
      </w:r>
      <w:r>
        <w:rPr>
          <w:rFonts w:hint="eastAsia" w:ascii="仿宋_GB2312" w:eastAsia="仿宋_GB2312"/>
          <w:sz w:val="32"/>
          <w:szCs w:val="32"/>
        </w:rPr>
        <w:t>，或者直接搜索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知识产权运营机构奖励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）”</w:t>
      </w:r>
      <w:r>
        <w:rPr>
          <w:rFonts w:hint="eastAsia" w:ascii="仿宋_GB2312" w:eastAsia="仿宋_GB2312"/>
          <w:sz w:val="32"/>
          <w:szCs w:val="32"/>
        </w:rPr>
        <w:t>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申报系统技术支持电话：0755-23602720。申报业务咨询电话：0755-83070173、0755-83070752。办公时间：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</w:t>
      </w:r>
      <w:r>
        <w:rPr>
          <w:rFonts w:hint="eastAsia" w:ascii="仿宋_GB2312" w:eastAsia="仿宋_GB2312"/>
          <w:sz w:val="32"/>
          <w:lang w:eastAsia="zh-CN"/>
        </w:rPr>
        <w:t>含</w:t>
      </w:r>
      <w:r>
        <w:rPr>
          <w:rFonts w:hint="default" w:ascii="仿宋_GB2312" w:eastAsia="仿宋_GB2312"/>
          <w:sz w:val="32"/>
          <w:lang w:eastAsia="zh-CN"/>
        </w:rPr>
        <w:t>根据工作需要开展的进一步</w:t>
      </w:r>
      <w:r>
        <w:rPr>
          <w:rFonts w:hint="eastAsia" w:ascii="仿宋_GB2312" w:eastAsia="仿宋_GB2312"/>
          <w:sz w:val="32"/>
        </w:rPr>
        <w:t>实地考察）——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合规提示</w:t>
      </w:r>
    </w:p>
    <w:p>
      <w:pPr>
        <w:pStyle w:val="3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《深圳市市场监督管理局知识产权领域专项资金操作规程》第四十条规定：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四</w:t>
      </w:r>
      <w:r>
        <w:rPr>
          <w:rFonts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一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受委托的第三方审计机构或专业机构在审计或核验过程中，存在弄虚作假、隐瞒事实真相或与受资助单位串通作弊并</w:t>
      </w:r>
      <w:r>
        <w:rPr>
          <w:rFonts w:hint="eastAsia" w:ascii="仿宋_GB2312" w:eastAsia="仿宋_GB2312"/>
          <w:b w:val="0"/>
          <w:sz w:val="32"/>
          <w:szCs w:val="32"/>
        </w:rPr>
        <w:t>出具相关报告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FA7DCF"/>
    <w:multiLevelType w:val="multilevel"/>
    <w:tmpl w:val="B8FA7DCF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jIwYjk4YTQxYzRkNjZiY2M4ODBmZDEzZTNiNmYifQ=="/>
  </w:docVars>
  <w:rsids>
    <w:rsidRoot w:val="6F4B3F98"/>
    <w:rsid w:val="162F21FD"/>
    <w:rsid w:val="36B30A9E"/>
    <w:rsid w:val="65B01C02"/>
    <w:rsid w:val="6F4B3F98"/>
    <w:rsid w:val="756F3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2624</Words>
  <Characters>2854</Characters>
  <Lines>0</Lines>
  <Paragraphs>0</Paragraphs>
  <TotalTime>0</TotalTime>
  <ScaleCrop>false</ScaleCrop>
  <LinksUpToDate>false</LinksUpToDate>
  <CharactersWithSpaces>2859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2023-04-14T19:33:00Z</dcterms:created>
  <dc:creator>liuyt1</dc:creator>
  <cp:lastModifiedBy>WANGQW</cp:lastModifiedBy>
  <dcterms:modified xsi:type="dcterms:W3CDTF">2023-04-17T13:01:11Z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A5E3751700A84A45AB3BD8FA710DF63F_12</vt:lpwstr>
  </property>
</Properties>
</file>