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sz w:val="44"/>
          <w:szCs w:val="44"/>
          <w:lang w:eastAsia="zh-CN"/>
        </w:rPr>
      </w:pPr>
      <w:r>
        <w:rPr>
          <w:rFonts w:hint="eastAsia" w:ascii="黑体" w:hAnsi="黑体" w:eastAsia="黑体" w:cs="黑体"/>
          <w:color w:val="auto"/>
          <w:sz w:val="32"/>
          <w:szCs w:val="32"/>
          <w:lang w:eastAsia="zh-CN"/>
        </w:rPr>
        <w:t>附件</w:t>
      </w:r>
    </w:p>
    <w:p>
      <w:pPr>
        <w:pStyle w:val="4"/>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深圳市商务局202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lang w:eastAsia="zh-CN"/>
        </w:rPr>
        <w:t>年电子商务创新发展扶持计划国家电子商务示范基地和网络零售</w:t>
      </w:r>
      <w:bookmarkStart w:id="1" w:name="_GoBack"/>
      <w:bookmarkEnd w:id="1"/>
      <w:r>
        <w:rPr>
          <w:rFonts w:hint="eastAsia" w:ascii="方正小标宋简体" w:hAnsi="方正小标宋简体" w:eastAsia="方正小标宋简体" w:cs="方正小标宋简体"/>
          <w:color w:val="auto"/>
          <w:sz w:val="44"/>
          <w:szCs w:val="44"/>
          <w:lang w:eastAsia="zh-CN"/>
        </w:rPr>
        <w:t>额纳统贡献奖励项目申报指南</w:t>
      </w:r>
    </w:p>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一、支持领域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根据《深圳市人民政府办公厅关于印发深圳市推动电子商务加快发展若干措施的通知》（深府办规〔2020〕9号，以下简称《若干措施》），对国家电子商务示范基地</w:t>
      </w:r>
      <w:r>
        <w:rPr>
          <w:rFonts w:hint="eastAsia" w:ascii="仿宋_GB2312" w:eastAsia="仿宋_GB2312"/>
          <w:color w:val="auto"/>
          <w:sz w:val="32"/>
          <w:szCs w:val="32"/>
          <w:lang w:eastAsia="zh-CN"/>
        </w:rPr>
        <w:t>和网络零售额纳统贡献奖励项目</w:t>
      </w:r>
      <w:r>
        <w:rPr>
          <w:rFonts w:hint="eastAsia" w:ascii="仿宋_GB2312" w:eastAsia="仿宋_GB2312"/>
          <w:color w:val="auto"/>
          <w:sz w:val="32"/>
          <w:szCs w:val="32"/>
        </w:rPr>
        <w:t>给予支持。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二、设定依据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楷体_GB2312" w:hAnsi="楷体_GB2312" w:eastAsia="楷体_GB2312" w:cs="楷体_GB2312"/>
          <w:color w:val="auto"/>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《深圳市推动电子商务加快发展若干措施》（深府办规〔2020〕9号）。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2.《〈深圳市关于推动电子商务加快发展的若干措施〉实施细则》（深</w:t>
      </w:r>
      <w:r>
        <w:rPr>
          <w:rFonts w:hint="eastAsia" w:ascii="仿宋_GB2312" w:eastAsia="仿宋_GB2312"/>
          <w:color w:val="auto"/>
          <w:sz w:val="32"/>
          <w:szCs w:val="32"/>
        </w:rPr>
        <w:t>商务规〔202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color w:val="auto"/>
          <w:sz w:val="32"/>
          <w:szCs w:val="32"/>
        </w:rPr>
        <w:t>（二）管理依据</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《深圳市商务发展专项资金管理办法》（深商务规〔2020〕2号）。</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黑体" w:hAnsi="黑体" w:eastAsia="黑体"/>
          <w:color w:val="auto"/>
          <w:sz w:val="32"/>
          <w:szCs w:val="32"/>
        </w:rPr>
      </w:pPr>
      <w:r>
        <w:rPr>
          <w:rFonts w:hint="eastAsia" w:ascii="黑体" w:hAnsi="黑体" w:eastAsia="黑体"/>
          <w:color w:val="auto"/>
          <w:sz w:val="32"/>
          <w:szCs w:val="32"/>
        </w:rPr>
        <w:t>三、支持数量和支持方式</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楷体_GB2312" w:eastAsia="楷体_GB2312"/>
          <w:bCs/>
          <w:color w:val="auto"/>
          <w:sz w:val="32"/>
          <w:szCs w:val="32"/>
        </w:rPr>
      </w:pPr>
      <w:r>
        <w:rPr>
          <w:rFonts w:hint="eastAsia" w:ascii="楷体_GB2312" w:eastAsia="楷体_GB2312"/>
          <w:bCs/>
          <w:color w:val="auto"/>
          <w:sz w:val="32"/>
          <w:szCs w:val="32"/>
        </w:rPr>
        <w:t>（一）支持数量</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有数量限制，受财政下达年度资金预算控制，</w:t>
      </w:r>
      <w:r>
        <w:rPr>
          <w:rFonts w:hint="eastAsia" w:ascii="仿宋_GB2312" w:eastAsia="仿宋_GB2312"/>
          <w:color w:val="auto"/>
          <w:sz w:val="32"/>
          <w:szCs w:val="32"/>
          <w:lang w:eastAsia="zh-CN"/>
        </w:rPr>
        <w:t>补贴</w:t>
      </w:r>
      <w:r>
        <w:rPr>
          <w:rFonts w:hint="eastAsia" w:ascii="仿宋_GB2312" w:eastAsia="仿宋_GB2312"/>
          <w:color w:val="auto"/>
          <w:sz w:val="32"/>
          <w:szCs w:val="32"/>
        </w:rPr>
        <w:t>金额以万元为单位按舍尾法取整，且原则上不得大于实际发生/投入金额。深圳市商务局视申报情况和预算安排，对奖励金额和拨付进度等进行统一调整，项目申报单位应无条件同意调整结果。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（二）支持方式</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仿宋_GB2312" w:eastAsia="仿宋_GB2312"/>
          <w:color w:val="auto"/>
          <w:sz w:val="32"/>
          <w:szCs w:val="32"/>
        </w:rPr>
        <w:t>事后奖励。</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color w:val="auto"/>
          <w:sz w:val="32"/>
          <w:szCs w:val="32"/>
        </w:rPr>
      </w:pPr>
      <w:r>
        <w:rPr>
          <w:rFonts w:hint="eastAsia" w:ascii="黑体" w:hAnsi="黑体" w:eastAsia="黑体" w:cs="黑体"/>
          <w:color w:val="auto"/>
          <w:sz w:val="32"/>
          <w:szCs w:val="32"/>
        </w:rPr>
        <w:t>四、申报条件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（一）基础条件</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eastAsia="仿宋_GB2312" w:cs="仿宋_GB2312"/>
          <w:color w:val="auto"/>
          <w:lang w:eastAsia="zh-CN"/>
        </w:rPr>
      </w:pPr>
      <w:r>
        <w:rPr>
          <w:rFonts w:cs="仿宋_GB2312"/>
          <w:color w:val="auto"/>
          <w:kern w:val="0"/>
          <w:lang w:bidi="ar"/>
        </w:rPr>
        <w:t>1.</w:t>
      </w:r>
      <w:r>
        <w:rPr>
          <w:rFonts w:hint="eastAsia" w:cs="仿宋_GB2312"/>
          <w:color w:val="auto"/>
          <w:kern w:val="0"/>
          <w:lang w:bidi="ar"/>
        </w:rPr>
        <w:t>申报主体为在深圳市（含深汕特别合作区）依法登记注册的法人企业</w:t>
      </w:r>
      <w:r>
        <w:rPr>
          <w:rFonts w:hint="eastAsia" w:cs="仿宋_GB2312"/>
          <w:color w:val="auto"/>
          <w:lang w:eastAsia="zh-CN"/>
        </w:rPr>
        <w:t>；</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eastAsia="仿宋_GB2312"/>
          <w:color w:val="auto"/>
          <w:lang w:eastAsia="zh-CN"/>
        </w:rPr>
      </w:pPr>
      <w:r>
        <w:rPr>
          <w:color w:val="auto"/>
        </w:rPr>
        <w:t>2.</w:t>
      </w:r>
      <w:r>
        <w:rPr>
          <w:rFonts w:hint="eastAsia" w:cs="仿宋_GB2312"/>
          <w:color w:val="auto"/>
          <w:kern w:val="0"/>
          <w:lang w:bidi="ar"/>
        </w:rPr>
        <w:t>申报</w:t>
      </w:r>
      <w:r>
        <w:rPr>
          <w:rFonts w:cs="仿宋_GB2312"/>
          <w:color w:val="auto"/>
          <w:kern w:val="0"/>
          <w:lang w:bidi="ar"/>
        </w:rPr>
        <w:t>主体</w:t>
      </w:r>
      <w:r>
        <w:rPr>
          <w:rFonts w:hint="eastAsia" w:cs="仿宋_GB2312"/>
          <w:color w:val="auto"/>
          <w:kern w:val="0"/>
          <w:lang w:bidi="ar"/>
        </w:rPr>
        <w:t>应当对申报材料的真实性、合法性、完整性负责，应如实提供本单位信用状况，承担违约责任并作出承诺，不得弄虚作假、套取、骗取专项资金</w:t>
      </w:r>
      <w:r>
        <w:rPr>
          <w:rFonts w:hint="eastAsia" w:cs="仿宋_GB2312"/>
          <w:color w:val="auto"/>
          <w:kern w:val="0"/>
          <w:lang w:eastAsia="zh-CN" w:bidi="ar"/>
        </w:rPr>
        <w:t>；</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eastAsia="仿宋_GB2312"/>
          <w:color w:val="auto"/>
          <w:lang w:eastAsia="zh-CN"/>
        </w:rPr>
      </w:pPr>
      <w:r>
        <w:rPr>
          <w:rFonts w:cs="仿宋_GB2312"/>
          <w:color w:val="auto"/>
        </w:rPr>
        <w:t>3.</w:t>
      </w:r>
      <w:r>
        <w:rPr>
          <w:rFonts w:hint="eastAsia" w:cs="仿宋_GB2312"/>
          <w:color w:val="auto"/>
        </w:rPr>
        <w:t>申报</w:t>
      </w:r>
      <w:r>
        <w:rPr>
          <w:rFonts w:cs="仿宋_GB2312"/>
          <w:color w:val="auto"/>
        </w:rPr>
        <w:t>主体</w:t>
      </w:r>
      <w:r>
        <w:rPr>
          <w:rFonts w:hint="eastAsia" w:cs="仿宋_GB2312"/>
          <w:color w:val="auto"/>
        </w:rPr>
        <w:t>未被国家、省、市</w:t>
      </w:r>
      <w:r>
        <w:rPr>
          <w:rFonts w:cs="仿宋_GB2312"/>
          <w:color w:val="auto"/>
        </w:rPr>
        <w:t>有</w:t>
      </w:r>
      <w:r>
        <w:rPr>
          <w:rFonts w:hint="eastAsia" w:cs="仿宋_GB2312"/>
          <w:color w:val="auto"/>
        </w:rPr>
        <w:t>关部门</w:t>
      </w:r>
      <w:r>
        <w:rPr>
          <w:rFonts w:cs="仿宋_GB2312"/>
          <w:color w:val="auto"/>
        </w:rPr>
        <w:t>列</w:t>
      </w:r>
      <w:r>
        <w:rPr>
          <w:rFonts w:hint="eastAsia" w:cs="仿宋_GB2312"/>
          <w:color w:val="auto"/>
        </w:rPr>
        <w:t>入严重失信主体名单实施惩戒，明确限制申请财政性资金项目，且在限制期内</w:t>
      </w:r>
      <w:r>
        <w:rPr>
          <w:rFonts w:hint="eastAsia" w:cs="仿宋_GB2312"/>
          <w:color w:val="auto"/>
          <w:lang w:eastAsia="zh-CN"/>
        </w:rPr>
        <w:t>；</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eastAsia="仿宋_GB2312"/>
          <w:color w:val="auto"/>
          <w:kern w:val="0"/>
          <w:lang w:eastAsia="zh-CN"/>
        </w:rPr>
      </w:pPr>
      <w:r>
        <w:rPr>
          <w:rFonts w:hint="eastAsia"/>
          <w:color w:val="auto"/>
          <w:kern w:val="0"/>
          <w:lang w:val="en-US" w:eastAsia="zh-CN"/>
        </w:rPr>
        <w:t>4</w:t>
      </w:r>
      <w:r>
        <w:rPr>
          <w:color w:val="auto"/>
          <w:kern w:val="0"/>
        </w:rPr>
        <w:t>.申报主体不得以同一事项重复或多头申报市级专项资金</w:t>
      </w:r>
      <w:r>
        <w:rPr>
          <w:rFonts w:hint="eastAsia"/>
          <w:color w:val="auto"/>
          <w:kern w:val="0"/>
          <w:lang w:eastAsia="zh-CN"/>
        </w:rPr>
        <w:t>；</w:t>
      </w:r>
    </w:p>
    <w:p>
      <w:pPr>
        <w:pStyle w:val="9"/>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cs="仿宋_GB2312"/>
          <w:color w:val="auto"/>
          <w:kern w:val="0"/>
          <w:lang w:bidi="ar"/>
        </w:rPr>
      </w:pPr>
      <w:r>
        <w:rPr>
          <w:rFonts w:hint="eastAsia" w:cs="仿宋_GB2312"/>
          <w:color w:val="auto"/>
          <w:kern w:val="0"/>
          <w:lang w:val="en-US" w:eastAsia="zh-CN" w:bidi="ar"/>
        </w:rPr>
        <w:t>5.</w:t>
      </w:r>
      <w:r>
        <w:rPr>
          <w:rFonts w:hint="eastAsia" w:cs="仿宋_GB2312"/>
          <w:color w:val="auto"/>
          <w:kern w:val="0"/>
          <w:lang w:bidi="ar"/>
        </w:rPr>
        <w:t>申报主体按要求向统计部门和商务主管部门报送统计数据，并确保在项目申报时提交的营业收入</w:t>
      </w:r>
      <w:r>
        <w:rPr>
          <w:rFonts w:hint="eastAsia" w:cs="仿宋_GB2312"/>
          <w:color w:val="auto"/>
          <w:kern w:val="0"/>
          <w:lang w:eastAsia="zh-CN" w:bidi="ar"/>
        </w:rPr>
        <w:t>、网络零售额</w:t>
      </w:r>
      <w:r>
        <w:rPr>
          <w:rFonts w:hint="eastAsia" w:cs="仿宋_GB2312"/>
          <w:color w:val="auto"/>
          <w:kern w:val="0"/>
          <w:lang w:bidi="ar"/>
        </w:rPr>
        <w:t>等经营指标数据与报送的统计数据保持一致。</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lang w:eastAsia="zh-CN"/>
        </w:rPr>
      </w:pPr>
      <w:r>
        <w:rPr>
          <w:rFonts w:hint="eastAsia" w:ascii="楷体_GB2312" w:hAnsi="楷体_GB2312" w:eastAsia="楷体_GB2312" w:cs="楷体_GB2312"/>
          <w:color w:val="auto"/>
          <w:sz w:val="32"/>
          <w:szCs w:val="32"/>
        </w:rPr>
        <w:t>（二）专项条件</w:t>
      </w:r>
      <w:bookmarkStart w:id="0" w:name="_Hlk44882405"/>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1</w:t>
      </w:r>
      <w:r>
        <w:rPr>
          <w:rFonts w:hint="eastAsia" w:ascii="仿宋_GB2312" w:eastAsia="仿宋_GB2312"/>
          <w:color w:val="auto"/>
          <w:sz w:val="32"/>
          <w:szCs w:val="32"/>
        </w:rPr>
        <w:t>.</w:t>
      </w:r>
      <w:r>
        <w:rPr>
          <w:rFonts w:hint="eastAsia" w:ascii="楷体_GB2312" w:hAnsi="楷体_GB2312" w:eastAsia="楷体_GB2312" w:cs="楷体_GB2312"/>
          <w:bCs/>
          <w:color w:val="auto"/>
          <w:sz w:val="32"/>
          <w:szCs w:val="32"/>
        </w:rPr>
        <w:t>国家电子商务示范基地奖励项目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w:t>
      </w:r>
      <w:r>
        <w:rPr>
          <w:rFonts w:hint="eastAsia" w:ascii="仿宋_GB2312" w:hAnsi="仿宋_GB2312" w:eastAsia="仿宋_GB2312" w:cs="仿宋_GB2312"/>
          <w:b w:val="0"/>
          <w:bCs w:val="0"/>
          <w:color w:val="auto"/>
          <w:sz w:val="32"/>
          <w:szCs w:val="32"/>
        </w:rPr>
        <w:t>年获批（含增补）的国家电子商务示范基地</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以《商务部关于</w:t>
      </w:r>
      <w:r>
        <w:rPr>
          <w:rFonts w:hint="eastAsia" w:ascii="仿宋_GB2312" w:eastAsia="仿宋_GB2312"/>
          <w:b w:val="0"/>
          <w:bCs w:val="0"/>
          <w:color w:val="auto"/>
          <w:sz w:val="32"/>
          <w:szCs w:val="32"/>
          <w:lang w:val="en-US" w:eastAsia="zh-CN"/>
        </w:rPr>
        <w:t>2022年</w:t>
      </w:r>
      <w:r>
        <w:rPr>
          <w:rFonts w:hint="eastAsia" w:ascii="仿宋_GB2312" w:eastAsia="仿宋_GB2312"/>
          <w:b w:val="0"/>
          <w:bCs w:val="0"/>
          <w:color w:val="auto"/>
          <w:sz w:val="32"/>
          <w:szCs w:val="32"/>
        </w:rPr>
        <w:t>增补国家电子商务示范基地的通知》（商电函〔</w:t>
      </w:r>
      <w:r>
        <w:rPr>
          <w:rFonts w:hint="eastAsia" w:ascii="仿宋_GB2312" w:eastAsia="仿宋_GB2312"/>
          <w:b w:val="0"/>
          <w:bCs w:val="0"/>
          <w:color w:val="auto"/>
          <w:sz w:val="32"/>
          <w:szCs w:val="32"/>
          <w:lang w:val="en-US" w:eastAsia="zh-CN"/>
        </w:rPr>
        <w:t>2022</w:t>
      </w:r>
      <w:r>
        <w:rPr>
          <w:rFonts w:hint="eastAsia" w:ascii="仿宋_GB2312" w:eastAsia="仿宋_GB2312"/>
          <w:b w:val="0"/>
          <w:bCs w:val="0"/>
          <w:color w:val="auto"/>
          <w:sz w:val="32"/>
          <w:szCs w:val="32"/>
        </w:rPr>
        <w:t>〕</w:t>
      </w:r>
      <w:r>
        <w:rPr>
          <w:rFonts w:hint="eastAsia" w:ascii="仿宋_GB2312" w:eastAsia="仿宋_GB2312"/>
          <w:b w:val="0"/>
          <w:bCs w:val="0"/>
          <w:color w:val="auto"/>
          <w:sz w:val="32"/>
          <w:szCs w:val="32"/>
          <w:lang w:val="en-US" w:eastAsia="zh-CN"/>
        </w:rPr>
        <w:t>411</w:t>
      </w:r>
      <w:r>
        <w:rPr>
          <w:rFonts w:hint="eastAsia" w:ascii="仿宋_GB2312" w:eastAsia="仿宋_GB2312"/>
          <w:b w:val="0"/>
          <w:bCs w:val="0"/>
          <w:color w:val="auto"/>
          <w:sz w:val="32"/>
          <w:szCs w:val="32"/>
        </w:rPr>
        <w:t>号）</w:t>
      </w:r>
      <w:r>
        <w:rPr>
          <w:rFonts w:hint="eastAsia" w:ascii="仿宋_GB2312" w:eastAsia="仿宋_GB2312"/>
          <w:b w:val="0"/>
          <w:bCs w:val="0"/>
          <w:color w:val="auto"/>
          <w:sz w:val="32"/>
          <w:szCs w:val="32"/>
          <w:lang w:eastAsia="zh-CN"/>
        </w:rPr>
        <w:t>中“</w:t>
      </w:r>
      <w:r>
        <w:rPr>
          <w:rFonts w:hint="eastAsia" w:ascii="仿宋_GB2312" w:eastAsia="仿宋_GB2312"/>
          <w:b w:val="0"/>
          <w:bCs w:val="0"/>
          <w:color w:val="auto"/>
          <w:sz w:val="32"/>
          <w:szCs w:val="32"/>
          <w:lang w:val="en-US" w:eastAsia="zh-CN"/>
        </w:rPr>
        <w:t>2022年增补国家电子商务示范基地</w:t>
      </w:r>
      <w:r>
        <w:rPr>
          <w:rFonts w:hint="eastAsia" w:ascii="仿宋_GB2312" w:eastAsia="仿宋_GB2312"/>
          <w:b w:val="0"/>
          <w:bCs w:val="0"/>
          <w:color w:val="auto"/>
          <w:sz w:val="32"/>
          <w:szCs w:val="32"/>
          <w:lang w:eastAsia="zh-CN"/>
        </w:rPr>
        <w:t>”名单</w:t>
      </w:r>
      <w:r>
        <w:rPr>
          <w:rFonts w:hint="eastAsia" w:ascii="仿宋_GB2312" w:eastAsia="仿宋_GB2312"/>
          <w:b w:val="0"/>
          <w:bCs w:val="0"/>
          <w:color w:val="auto"/>
          <w:sz w:val="32"/>
          <w:szCs w:val="32"/>
        </w:rPr>
        <w:t>为准。</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lang w:val="en-US" w:eastAsia="zh-CN"/>
        </w:rPr>
        <w:t>2</w:t>
      </w:r>
      <w:r>
        <w:rPr>
          <w:rFonts w:hint="eastAsia" w:ascii="楷体_GB2312" w:hAnsi="楷体_GB2312" w:eastAsia="楷体_GB2312" w:cs="楷体_GB2312"/>
          <w:bCs/>
          <w:color w:val="auto"/>
          <w:sz w:val="32"/>
          <w:szCs w:val="32"/>
        </w:rPr>
        <w:t>.网络零售</w:t>
      </w:r>
      <w:r>
        <w:rPr>
          <w:rFonts w:hint="eastAsia" w:ascii="楷体_GB2312" w:hAnsi="楷体_GB2312" w:eastAsia="楷体_GB2312" w:cs="楷体_GB2312"/>
          <w:bCs/>
          <w:color w:val="auto"/>
          <w:sz w:val="32"/>
          <w:szCs w:val="32"/>
          <w:lang w:eastAsia="zh-CN"/>
        </w:rPr>
        <w:t>额</w:t>
      </w:r>
      <w:r>
        <w:rPr>
          <w:rFonts w:hint="eastAsia" w:ascii="楷体_GB2312" w:hAnsi="楷体_GB2312" w:eastAsia="楷体_GB2312" w:cs="楷体_GB2312"/>
          <w:bCs/>
          <w:color w:val="auto"/>
          <w:sz w:val="32"/>
          <w:szCs w:val="32"/>
        </w:rPr>
        <w:t>纳统</w:t>
      </w:r>
      <w:r>
        <w:rPr>
          <w:rFonts w:hint="eastAsia" w:ascii="楷体_GB2312" w:hAnsi="楷体_GB2312" w:eastAsia="楷体_GB2312" w:cs="楷体_GB2312"/>
          <w:bCs/>
          <w:color w:val="auto"/>
          <w:sz w:val="32"/>
          <w:szCs w:val="32"/>
          <w:lang w:eastAsia="zh-CN"/>
        </w:rPr>
        <w:t>贡献</w:t>
      </w:r>
      <w:r>
        <w:rPr>
          <w:rFonts w:hint="eastAsia" w:ascii="楷体_GB2312" w:hAnsi="楷体_GB2312" w:eastAsia="楷体_GB2312" w:cs="楷体_GB2312"/>
          <w:bCs/>
          <w:color w:val="auto"/>
          <w:sz w:val="32"/>
          <w:szCs w:val="32"/>
        </w:rPr>
        <w:t>奖励项目</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hAnsi="仿宋_GB2312" w:eastAsia="仿宋_GB2312" w:cs="仿宋_GB2312"/>
          <w:color w:val="auto"/>
          <w:sz w:val="32"/>
          <w:szCs w:val="32"/>
        </w:rPr>
        <w:t>通过自营平台或第三方平台开展网络零售，</w:t>
      </w:r>
      <w:r>
        <w:rPr>
          <w:rFonts w:hint="eastAsia" w:ascii="仿宋_GB2312" w:hAnsi="仿宋_GB2312" w:eastAsia="仿宋_GB2312" w:cs="仿宋_GB2312"/>
          <w:color w:val="auto"/>
          <w:sz w:val="32"/>
          <w:szCs w:val="32"/>
          <w:lang w:val="en-US" w:eastAsia="zh-CN"/>
        </w:rPr>
        <w:t>2022年度</w:t>
      </w:r>
      <w:r>
        <w:rPr>
          <w:rFonts w:hint="eastAsia" w:ascii="仿宋_GB2312" w:hAnsi="仿宋_GB2312" w:eastAsia="仿宋_GB2312" w:cs="仿宋_GB2312"/>
          <w:color w:val="auto"/>
          <w:sz w:val="32"/>
          <w:szCs w:val="32"/>
        </w:rPr>
        <w:t>首次纳统并超过5000万元的企业</w:t>
      </w:r>
      <w:r>
        <w:rPr>
          <w:rFonts w:hint="eastAsia" w:ascii="仿宋_GB2312" w:eastAsia="仿宋_GB2312"/>
          <w:color w:val="auto"/>
          <w:sz w:val="32"/>
          <w:szCs w:val="32"/>
        </w:rPr>
        <w:t>；</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2022年度</w:t>
      </w:r>
      <w:r>
        <w:rPr>
          <w:rFonts w:hint="eastAsia" w:ascii="仿宋_GB2312" w:hAnsi="仿宋_GB2312" w:eastAsia="仿宋_GB2312" w:cs="仿宋_GB2312"/>
          <w:color w:val="auto"/>
          <w:sz w:val="32"/>
          <w:szCs w:val="32"/>
        </w:rPr>
        <w:t>网络零售额超过10亿元的企业。</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仿宋_GB2312" w:eastAsia="仿宋_GB2312"/>
          <w:color w:val="auto"/>
          <w:sz w:val="32"/>
          <w:szCs w:val="32"/>
        </w:rPr>
      </w:pP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lang w:val="en-US" w:eastAsia="zh-CN"/>
        </w:rPr>
        <w:t>3</w:t>
      </w:r>
      <w:r>
        <w:rPr>
          <w:rFonts w:hint="eastAsia" w:ascii="仿宋_GB2312" w:hAnsi="黑体" w:eastAsia="仿宋_GB2312" w:cs="黑体"/>
          <w:color w:val="auto"/>
          <w:sz w:val="32"/>
          <w:szCs w:val="32"/>
          <w:lang w:eastAsia="zh-CN"/>
        </w:rPr>
        <w:t>）</w:t>
      </w:r>
      <w:r>
        <w:rPr>
          <w:rFonts w:hint="eastAsia" w:ascii="仿宋_GB2312" w:hAnsi="黑体" w:eastAsia="仿宋_GB2312" w:cs="黑体"/>
          <w:color w:val="auto"/>
          <w:sz w:val="32"/>
          <w:szCs w:val="32"/>
        </w:rPr>
        <w:t>申报单位202</w:t>
      </w:r>
      <w:r>
        <w:rPr>
          <w:rFonts w:hint="eastAsia" w:ascii="仿宋_GB2312" w:hAnsi="黑体" w:eastAsia="仿宋_GB2312" w:cs="黑体"/>
          <w:color w:val="auto"/>
          <w:sz w:val="32"/>
          <w:szCs w:val="32"/>
          <w:lang w:val="en-US" w:eastAsia="zh-CN"/>
        </w:rPr>
        <w:t>2</w:t>
      </w:r>
      <w:r>
        <w:rPr>
          <w:rFonts w:hint="eastAsia" w:ascii="仿宋_GB2312" w:hAnsi="黑体" w:eastAsia="仿宋_GB2312" w:cs="黑体"/>
          <w:color w:val="auto"/>
          <w:sz w:val="32"/>
          <w:szCs w:val="32"/>
        </w:rPr>
        <w:t>年12月至申报截止日当月在国家统计局统计联网直报平台内的企业类别为批发和零售业。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ascii="仿宋_GB2312" w:eastAsia="仿宋_GB2312"/>
          <w:color w:val="auto"/>
          <w:sz w:val="32"/>
          <w:szCs w:val="32"/>
        </w:rPr>
        <w:t>特别说明：以上</w:t>
      </w:r>
      <w:r>
        <w:rPr>
          <w:rFonts w:hint="eastAsia" w:ascii="仿宋_GB2312" w:eastAsia="仿宋_GB2312"/>
          <w:color w:val="auto"/>
          <w:sz w:val="32"/>
          <w:szCs w:val="32"/>
        </w:rPr>
        <w:t>项目</w:t>
      </w:r>
      <w:r>
        <w:rPr>
          <w:rFonts w:ascii="仿宋_GB2312" w:eastAsia="仿宋_GB2312"/>
          <w:color w:val="auto"/>
          <w:sz w:val="32"/>
          <w:szCs w:val="32"/>
        </w:rPr>
        <w:t>条件中所指</w:t>
      </w:r>
      <w:r>
        <w:rPr>
          <w:rFonts w:hint="eastAsia" w:ascii="仿宋_GB2312" w:eastAsia="仿宋_GB2312"/>
          <w:color w:val="auto"/>
          <w:sz w:val="32"/>
          <w:szCs w:val="32"/>
        </w:rPr>
        <w:t>网络</w:t>
      </w:r>
      <w:r>
        <w:rPr>
          <w:rFonts w:ascii="仿宋_GB2312" w:eastAsia="仿宋_GB2312"/>
          <w:color w:val="auto"/>
          <w:sz w:val="32"/>
          <w:szCs w:val="32"/>
        </w:rPr>
        <w:t>零售额均以统计部门数据</w:t>
      </w:r>
      <w:r>
        <w:rPr>
          <w:rFonts w:hint="eastAsia" w:ascii="仿宋_GB2312" w:eastAsia="仿宋_GB2312"/>
          <w:color w:val="auto"/>
          <w:sz w:val="32"/>
          <w:szCs w:val="32"/>
        </w:rPr>
        <w:t>为准。</w:t>
      </w:r>
    </w:p>
    <w:bookmarkEnd w:id="0"/>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五、支持内容和支持标准</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（一）国家电子商务示范基地奖励项目</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rPr>
      </w:pPr>
      <w:r>
        <w:rPr>
          <w:rFonts w:hint="eastAsia" w:ascii="仿宋_GB2312" w:eastAsia="仿宋_GB2312"/>
          <w:b/>
          <w:color w:val="auto"/>
          <w:sz w:val="32"/>
          <w:szCs w:val="32"/>
        </w:rPr>
        <w:t>支持内容：</w:t>
      </w:r>
      <w:r>
        <w:rPr>
          <w:rFonts w:hint="eastAsia" w:ascii="仿宋_GB2312" w:eastAsia="仿宋_GB2312"/>
          <w:color w:val="auto"/>
          <w:sz w:val="32"/>
          <w:szCs w:val="32"/>
        </w:rPr>
        <w:t>支持电子商务产业集聚园区申报国家级电子商务示范基地，进一步推进国家电子商务示范基地建设工作，发挥基地示范带头作用。</w:t>
      </w:r>
    </w:p>
    <w:p>
      <w:pPr>
        <w:pStyle w:val="6"/>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rPr>
      </w:pPr>
      <w:r>
        <w:rPr>
          <w:rFonts w:hint="eastAsia" w:ascii="仿宋_GB2312" w:eastAsia="仿宋_GB2312" w:cs="Times New Roman"/>
          <w:b/>
          <w:bCs/>
          <w:color w:val="auto"/>
          <w:sz w:val="32"/>
          <w:szCs w:val="32"/>
        </w:rPr>
        <w:t>支持标准：</w:t>
      </w:r>
      <w:r>
        <w:rPr>
          <w:rFonts w:ascii="仿宋_GB2312" w:eastAsia="仿宋_GB2312" w:cs="Times New Roman"/>
          <w:color w:val="auto"/>
          <w:sz w:val="32"/>
          <w:szCs w:val="32"/>
        </w:rPr>
        <w:t>对获批（含增补）为国家电子商务示</w:t>
      </w:r>
      <w:r>
        <w:rPr>
          <w:rFonts w:hint="eastAsia" w:ascii="仿宋_GB2312" w:eastAsia="仿宋_GB2312" w:cs="Times New Roman"/>
          <w:color w:val="auto"/>
          <w:sz w:val="32"/>
          <w:szCs w:val="32"/>
        </w:rPr>
        <w:t>范基地的申报主体，一次性奖励300万元。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楷体_GB2312" w:hAnsi="楷体_GB2312" w:eastAsia="楷体_GB2312" w:cs="楷体_GB2312"/>
          <w:bCs/>
          <w:color w:val="auto"/>
          <w:sz w:val="32"/>
          <w:szCs w:val="32"/>
        </w:rPr>
        <w:t>（二）网络零售</w:t>
      </w:r>
      <w:r>
        <w:rPr>
          <w:rFonts w:hint="eastAsia" w:ascii="楷体_GB2312" w:hAnsi="楷体_GB2312" w:eastAsia="楷体_GB2312" w:cs="楷体_GB2312"/>
          <w:bCs/>
          <w:color w:val="auto"/>
          <w:sz w:val="32"/>
          <w:szCs w:val="32"/>
          <w:lang w:eastAsia="zh-CN"/>
        </w:rPr>
        <w:t>额</w:t>
      </w:r>
      <w:r>
        <w:rPr>
          <w:rFonts w:hint="eastAsia" w:ascii="楷体_GB2312" w:hAnsi="楷体_GB2312" w:eastAsia="楷体_GB2312" w:cs="楷体_GB2312"/>
          <w:bCs/>
          <w:color w:val="auto"/>
          <w:sz w:val="32"/>
          <w:szCs w:val="32"/>
        </w:rPr>
        <w:t>纳统</w:t>
      </w:r>
      <w:r>
        <w:rPr>
          <w:rFonts w:hint="eastAsia" w:ascii="楷体_GB2312" w:hAnsi="楷体_GB2312" w:eastAsia="楷体_GB2312" w:cs="楷体_GB2312"/>
          <w:bCs/>
          <w:color w:val="auto"/>
          <w:sz w:val="32"/>
          <w:szCs w:val="32"/>
          <w:lang w:eastAsia="zh-CN"/>
        </w:rPr>
        <w:t>贡献</w:t>
      </w:r>
      <w:r>
        <w:rPr>
          <w:rFonts w:hint="eastAsia" w:ascii="楷体_GB2312" w:hAnsi="楷体_GB2312" w:eastAsia="楷体_GB2312" w:cs="楷体_GB2312"/>
          <w:bCs/>
          <w:color w:val="auto"/>
          <w:sz w:val="32"/>
          <w:szCs w:val="32"/>
        </w:rPr>
        <w:t>奖励项目</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rPr>
      </w:pPr>
      <w:r>
        <w:rPr>
          <w:rFonts w:hint="eastAsia" w:ascii="仿宋_GB2312" w:hAnsi="楷体_GB2312" w:eastAsia="仿宋_GB2312" w:cs="楷体_GB2312"/>
          <w:b/>
          <w:bCs/>
          <w:color w:val="auto"/>
          <w:sz w:val="32"/>
          <w:szCs w:val="32"/>
        </w:rPr>
        <w:t>支持内容：</w:t>
      </w:r>
      <w:r>
        <w:rPr>
          <w:rFonts w:hint="eastAsia" w:ascii="仿宋_GB2312" w:hAnsi="仿宋_GB2312" w:eastAsia="仿宋_GB2312" w:cs="仿宋_GB2312"/>
          <w:color w:val="auto"/>
          <w:sz w:val="32"/>
          <w:szCs w:val="32"/>
        </w:rPr>
        <w:t>鼓励企业通过自营平台或第三方平台开展网络零售，扩大品牌效应和产品价值</w:t>
      </w:r>
      <w:r>
        <w:rPr>
          <w:rFonts w:hint="eastAsia" w:ascii="仿宋_GB2312" w:eastAsia="仿宋_GB2312"/>
          <w:color w:val="auto"/>
          <w:sz w:val="32"/>
          <w:szCs w:val="32"/>
        </w:rPr>
        <w:t>。</w:t>
      </w:r>
    </w:p>
    <w:p>
      <w:pPr>
        <w:pStyle w:val="6"/>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ascii="仿宋_GB2312" w:hAnsi="楷体_GB2312" w:eastAsia="仿宋_GB2312" w:cs="楷体_GB2312"/>
          <w:b/>
          <w:bCs/>
          <w:color w:val="auto"/>
          <w:sz w:val="32"/>
          <w:szCs w:val="32"/>
        </w:rPr>
      </w:pPr>
      <w:r>
        <w:rPr>
          <w:rFonts w:hint="eastAsia" w:ascii="仿宋_GB2312" w:hAnsi="楷体_GB2312" w:eastAsia="仿宋_GB2312" w:cs="楷体_GB2312"/>
          <w:b/>
          <w:bCs/>
          <w:color w:val="auto"/>
          <w:sz w:val="32"/>
          <w:szCs w:val="32"/>
        </w:rPr>
        <w:t>支持标准：</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1.对网络零售额</w:t>
      </w:r>
      <w:r>
        <w:rPr>
          <w:rFonts w:hint="eastAsia" w:ascii="仿宋_GB2312" w:hAnsi="仿宋_GB2312" w:eastAsia="仿宋_GB2312" w:cs="仿宋_GB2312"/>
          <w:color w:val="auto"/>
          <w:sz w:val="32"/>
          <w:szCs w:val="32"/>
          <w:lang w:val="en-US" w:eastAsia="zh-CN"/>
        </w:rPr>
        <w:t>2022年度</w:t>
      </w:r>
      <w:r>
        <w:rPr>
          <w:rFonts w:hint="eastAsia" w:ascii="仿宋_GB2312" w:hAnsi="仿宋_GB2312" w:eastAsia="仿宋_GB2312" w:cs="仿宋_GB2312"/>
          <w:color w:val="auto"/>
          <w:sz w:val="32"/>
          <w:szCs w:val="32"/>
        </w:rPr>
        <w:t>首次纳统并超过5000万元的企业，一次性奖励50万元。</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2.对企业</w:t>
      </w:r>
      <w:r>
        <w:rPr>
          <w:rFonts w:hint="eastAsia" w:ascii="仿宋_GB2312" w:hAnsi="仿宋_GB2312" w:eastAsia="仿宋_GB2312" w:cs="仿宋_GB2312"/>
          <w:color w:val="auto"/>
          <w:sz w:val="32"/>
          <w:szCs w:val="32"/>
          <w:lang w:val="en-US" w:eastAsia="zh-CN"/>
        </w:rPr>
        <w:t>2022年度</w:t>
      </w:r>
      <w:r>
        <w:rPr>
          <w:rFonts w:hint="eastAsia" w:ascii="仿宋_GB2312" w:hAnsi="仿宋_GB2312" w:eastAsia="仿宋_GB2312" w:cs="仿宋_GB2312"/>
          <w:color w:val="auto"/>
          <w:sz w:val="32"/>
          <w:szCs w:val="32"/>
        </w:rPr>
        <w:t>网络零售额超过10亿元的部分，每增加5000万元给予该企业50万元的资金奖励，单个企业奖励上限300万元。</w:t>
      </w:r>
    </w:p>
    <w:p>
      <w:pPr>
        <w:pStyle w:val="6"/>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已获得促进消费提升扶持计划相关资助的，不重复享受</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黑体" w:hAnsi="黑体" w:eastAsia="黑体"/>
          <w:color w:val="auto"/>
          <w:sz w:val="32"/>
          <w:szCs w:val="32"/>
        </w:rPr>
      </w:pPr>
      <w:r>
        <w:rPr>
          <w:rFonts w:hint="eastAsia" w:ascii="黑体" w:hAnsi="黑体" w:eastAsia="黑体"/>
          <w:color w:val="auto"/>
          <w:sz w:val="32"/>
          <w:szCs w:val="32"/>
        </w:rPr>
        <w:t>六、申报材料</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eastAsia="仿宋_GB2312"/>
          <w:color w:val="auto"/>
          <w:sz w:val="32"/>
          <w:szCs w:val="32"/>
        </w:rPr>
      </w:pPr>
      <w:r>
        <w:rPr>
          <w:rFonts w:hint="eastAsia" w:ascii="仿宋_GB2312" w:eastAsia="仿宋_GB2312"/>
          <w:color w:val="auto"/>
          <w:sz w:val="32"/>
          <w:szCs w:val="32"/>
        </w:rPr>
        <w:t>申报材料由基础材料和项目材料两部分组成。</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楷体_GB2312" w:eastAsia="楷体_GB2312"/>
          <w:color w:val="auto"/>
          <w:sz w:val="32"/>
          <w:szCs w:val="32"/>
        </w:rPr>
      </w:pPr>
      <w:r>
        <w:rPr>
          <w:rFonts w:hint="eastAsia" w:ascii="楷体_GB2312" w:eastAsia="楷体_GB2312"/>
          <w:color w:val="auto"/>
          <w:sz w:val="32"/>
          <w:szCs w:val="32"/>
        </w:rPr>
        <w:t>（一）基础材料：</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eastAsia="仿宋_GB2312"/>
          <w:color w:val="auto"/>
          <w:sz w:val="32"/>
          <w:szCs w:val="32"/>
        </w:rPr>
        <w:t>1.登录广东政务服务网在线填报申请书（网址：http://www.gdzwfw.gov.cn/），提供通过该系统打印的申请书纸质文件原件；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统一社会信用代码证</w:t>
      </w:r>
      <w:r>
        <w:rPr>
          <w:rFonts w:hint="eastAsia" w:ascii="仿宋_GB2312" w:eastAsia="仿宋_GB2312"/>
          <w:color w:val="auto"/>
          <w:sz w:val="32"/>
          <w:szCs w:val="32"/>
        </w:rPr>
        <w:t>（电子证照）。</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楷体_GB2312" w:eastAsia="楷体_GB2312"/>
          <w:color w:val="auto"/>
          <w:sz w:val="32"/>
          <w:szCs w:val="32"/>
        </w:rPr>
      </w:pPr>
      <w:r>
        <w:rPr>
          <w:rFonts w:hint="eastAsia" w:ascii="楷体_GB2312" w:eastAsia="楷体_GB2312"/>
          <w:color w:val="auto"/>
          <w:sz w:val="32"/>
          <w:szCs w:val="32"/>
        </w:rPr>
        <w:t>（二）项目材料：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Cs/>
          <w:color w:val="auto"/>
          <w:sz w:val="32"/>
          <w:szCs w:val="32"/>
        </w:rPr>
      </w:pPr>
      <w:r>
        <w:rPr>
          <w:rFonts w:hint="eastAsia" w:ascii="仿宋_GB2312" w:eastAsia="仿宋_GB2312"/>
          <w:b w:val="0"/>
          <w:bCs/>
          <w:color w:val="auto"/>
          <w:sz w:val="32"/>
          <w:szCs w:val="32"/>
        </w:rPr>
        <w:t>1.</w:t>
      </w:r>
      <w:r>
        <w:rPr>
          <w:rFonts w:hint="eastAsia" w:ascii="仿宋_GB2312" w:eastAsia="仿宋_GB2312"/>
          <w:bCs/>
          <w:color w:val="auto"/>
          <w:sz w:val="32"/>
          <w:szCs w:val="32"/>
        </w:rPr>
        <w:t>国家级电子商务示范基地奖励项目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（1）</w:t>
      </w:r>
      <w:r>
        <w:rPr>
          <w:rFonts w:hint="eastAsia" w:ascii="仿宋_GB2312" w:hAnsi="仿宋_GB2312" w:eastAsia="仿宋_GB2312" w:cs="仿宋_GB2312"/>
          <w:color w:val="auto"/>
          <w:sz w:val="32"/>
          <w:szCs w:val="32"/>
          <w:lang w:eastAsia="zh-CN"/>
        </w:rPr>
        <w:t>示范基地宣传材料（不限格式）</w:t>
      </w:r>
      <w:r>
        <w:rPr>
          <w:rFonts w:hint="eastAsia" w:ascii="仿宋_GB2312" w:hAnsi="仿宋_GB2312" w:eastAsia="仿宋_GB2312" w:cs="仿宋_GB2312"/>
          <w:color w:val="auto"/>
          <w:sz w:val="32"/>
          <w:szCs w:val="32"/>
        </w:rPr>
        <w:t>。</w:t>
      </w:r>
    </w:p>
    <w:p>
      <w:pPr>
        <w:pStyle w:val="4"/>
        <w:keepNext w:val="0"/>
        <w:keepLines w:val="0"/>
        <w:pageBreakBefore w:val="0"/>
        <w:kinsoku/>
        <w:wordWrap/>
        <w:overflowPunct/>
        <w:topLinePunct w:val="0"/>
        <w:autoSpaceDE/>
        <w:autoSpaceDN/>
        <w:bidi w:val="0"/>
        <w:adjustRightInd/>
        <w:snapToGrid/>
        <w:spacing w:line="560" w:lineRule="exact"/>
        <w:textAlignment w:val="auto"/>
        <w:rPr>
          <w:color w:val="auto"/>
        </w:rPr>
      </w:pP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lang w:eastAsia="zh-CN"/>
        </w:rPr>
        <w:t>）</w:t>
      </w:r>
      <w:r>
        <w:rPr>
          <w:rFonts w:hint="eastAsia" w:ascii="仿宋_GB2312" w:eastAsia="仿宋_GB2312"/>
          <w:color w:val="auto"/>
          <w:sz w:val="32"/>
          <w:szCs w:val="32"/>
        </w:rPr>
        <w:t>国家电子商务示范基地报告，包括</w:t>
      </w:r>
      <w:r>
        <w:rPr>
          <w:rFonts w:hint="eastAsia" w:ascii="仿宋_GB2312" w:eastAsia="仿宋_GB2312"/>
          <w:color w:val="auto"/>
          <w:sz w:val="32"/>
          <w:szCs w:val="32"/>
          <w:lang w:eastAsia="zh-CN"/>
        </w:rPr>
        <w:t>基本情况、</w:t>
      </w:r>
      <w:r>
        <w:rPr>
          <w:rFonts w:hint="eastAsia" w:ascii="仿宋_GB2312" w:eastAsia="仿宋_GB2312"/>
          <w:color w:val="auto"/>
          <w:sz w:val="32"/>
          <w:szCs w:val="32"/>
        </w:rPr>
        <w:t>运营存在问题</w:t>
      </w:r>
      <w:r>
        <w:rPr>
          <w:rFonts w:hint="eastAsia" w:ascii="仿宋_GB2312" w:eastAsia="仿宋_GB2312"/>
          <w:color w:val="auto"/>
          <w:sz w:val="32"/>
          <w:szCs w:val="32"/>
          <w:lang w:eastAsia="zh-CN"/>
        </w:rPr>
        <w:t>及</w:t>
      </w:r>
      <w:r>
        <w:rPr>
          <w:rFonts w:hint="eastAsia" w:ascii="仿宋_GB2312" w:eastAsia="仿宋_GB2312"/>
          <w:color w:val="auto"/>
          <w:sz w:val="32"/>
          <w:szCs w:val="32"/>
        </w:rPr>
        <w:t>政策建议等。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b w:val="0"/>
          <w:bCs/>
          <w:color w:val="auto"/>
          <w:sz w:val="32"/>
          <w:szCs w:val="32"/>
        </w:rPr>
      </w:pPr>
      <w:r>
        <w:rPr>
          <w:rFonts w:hint="eastAsia" w:ascii="仿宋_GB2312" w:eastAsia="仿宋_GB2312"/>
          <w:b w:val="0"/>
          <w:bCs/>
          <w:color w:val="auto"/>
          <w:sz w:val="32"/>
          <w:szCs w:val="32"/>
        </w:rPr>
        <w:t>2.网络零售</w:t>
      </w:r>
      <w:r>
        <w:rPr>
          <w:rFonts w:hint="eastAsia" w:ascii="仿宋_GB2312" w:eastAsia="仿宋_GB2312"/>
          <w:b w:val="0"/>
          <w:bCs/>
          <w:color w:val="auto"/>
          <w:sz w:val="32"/>
          <w:szCs w:val="32"/>
          <w:lang w:eastAsia="zh-CN"/>
        </w:rPr>
        <w:t>额</w:t>
      </w:r>
      <w:r>
        <w:rPr>
          <w:rFonts w:hint="eastAsia" w:ascii="仿宋_GB2312" w:eastAsia="仿宋_GB2312"/>
          <w:b w:val="0"/>
          <w:bCs/>
          <w:color w:val="auto"/>
          <w:sz w:val="32"/>
          <w:szCs w:val="32"/>
        </w:rPr>
        <w:t>纳统</w:t>
      </w:r>
      <w:r>
        <w:rPr>
          <w:rFonts w:hint="eastAsia" w:ascii="仿宋_GB2312" w:eastAsia="仿宋_GB2312"/>
          <w:b w:val="0"/>
          <w:bCs/>
          <w:color w:val="auto"/>
          <w:sz w:val="32"/>
          <w:szCs w:val="32"/>
          <w:lang w:eastAsia="zh-CN"/>
        </w:rPr>
        <w:t>贡献</w:t>
      </w:r>
      <w:r>
        <w:rPr>
          <w:rFonts w:hint="eastAsia" w:ascii="仿宋_GB2312" w:eastAsia="仿宋_GB2312"/>
          <w:b w:val="0"/>
          <w:bCs/>
          <w:color w:val="auto"/>
          <w:sz w:val="32"/>
          <w:szCs w:val="32"/>
        </w:rPr>
        <w:t>奖励项目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批发和零售业商品销售和库存 E204-1表（2022年12月）.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以上材料均需加盖申报单位公章，未注明收原件的均须提供复印件，多页的还需加盖骑缝公章；涉及外文的，需提供中文翻译件；一式两份，A4纸正反面打印/复印，非空白页（含封面）需连续编写页码，装订成册（胶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七、申请表格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highlight w:val="none"/>
        </w:rPr>
      </w:pPr>
      <w:r>
        <w:rPr>
          <w:rFonts w:hint="eastAsia" w:ascii="仿宋_GB2312" w:eastAsia="仿宋_GB2312"/>
          <w:color w:val="auto"/>
          <w:sz w:val="32"/>
          <w:szCs w:val="32"/>
          <w:highlight w:val="none"/>
        </w:rPr>
        <w:t>本指南第六条规定的申请书和表格，登录广东政务服务网（网址：</w:t>
      </w:r>
      <w:r>
        <w:rPr>
          <w:rFonts w:ascii="Times New Roman" w:hAnsi="Times New Roman" w:eastAsia="仿宋_GB2312"/>
          <w:color w:val="auto"/>
          <w:sz w:val="32"/>
          <w:szCs w:val="32"/>
          <w:highlight w:val="none"/>
        </w:rPr>
        <w:t>http://</w:t>
      </w:r>
      <w:r>
        <w:rPr>
          <w:rFonts w:hint="eastAsia" w:ascii="Times New Roman" w:hAnsi="Times New Roman" w:eastAsia="仿宋_GB2312"/>
          <w:color w:val="auto"/>
          <w:sz w:val="32"/>
          <w:szCs w:val="32"/>
          <w:highlight w:val="none"/>
        </w:rPr>
        <w:t>www.gdzwfw.gov.cn/</w:t>
      </w:r>
      <w:r>
        <w:rPr>
          <w:rFonts w:hint="eastAsia" w:ascii="仿宋_GB2312" w:eastAsia="仿宋_GB2312"/>
          <w:color w:val="auto"/>
          <w:sz w:val="32"/>
          <w:szCs w:val="32"/>
          <w:highlight w:val="none"/>
        </w:rPr>
        <w:t>）在线填报</w:t>
      </w:r>
      <w:r>
        <w:rPr>
          <w:rFonts w:hint="eastAsia" w:ascii="Times New Roman" w:hAnsi="Times New Roman"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八、受理机关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（一）受理机关：</w:t>
      </w:r>
      <w:r>
        <w:rPr>
          <w:rFonts w:hint="eastAsia" w:ascii="Times New Roman" w:hAnsi="Times New Roman" w:eastAsia="仿宋_GB2312"/>
          <w:color w:val="auto"/>
          <w:sz w:val="32"/>
          <w:szCs w:val="32"/>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1.网络填报时间：202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日—202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日18:00。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2.材料提交时间:202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日—202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日17:45。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申报</w:t>
      </w:r>
      <w:r>
        <w:rPr>
          <w:rFonts w:hint="eastAsia" w:ascii="仿宋_GB2312" w:eastAsia="仿宋_GB2312"/>
          <w:color w:val="auto"/>
          <w:sz w:val="32"/>
          <w:szCs w:val="32"/>
          <w:lang w:eastAsia="zh-CN"/>
        </w:rPr>
        <w:t>主体</w:t>
      </w:r>
      <w:r>
        <w:rPr>
          <w:rFonts w:hint="eastAsia" w:ascii="仿宋_GB2312" w:eastAsia="仿宋_GB2312"/>
          <w:color w:val="auto"/>
          <w:sz w:val="32"/>
          <w:szCs w:val="32"/>
        </w:rPr>
        <w:t>在上述规定时间内在线填报、提交材料，逾期不予受理。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楷体_GB2312" w:hAnsi="楷体_GB2312" w:eastAsia="楷体_GB2312" w:cs="楷体_GB2312"/>
          <w:color w:val="auto"/>
          <w:sz w:val="32"/>
          <w:szCs w:val="32"/>
        </w:rPr>
        <w:t>（三）受理地点：</w:t>
      </w:r>
      <w:r>
        <w:rPr>
          <w:rFonts w:hint="eastAsia" w:ascii="仿宋_GB2312" w:eastAsia="仿宋_GB2312"/>
          <w:color w:val="auto"/>
          <w:sz w:val="32"/>
          <w:szCs w:val="32"/>
        </w:rPr>
        <w:t>深圳市福田区福中三路市民中心B区市行政服务大厅西厅综合窗口</w:t>
      </w:r>
      <w:r>
        <w:rPr>
          <w:rFonts w:hint="eastAsia" w:ascii="仿宋_GB2312" w:eastAsia="仿宋_GB2312"/>
          <w:color w:val="auto"/>
          <w:sz w:val="32"/>
          <w:szCs w:val="32"/>
          <w:lang w:eastAsia="zh-CN"/>
        </w:rPr>
        <w:t>。</w:t>
      </w:r>
      <w:r>
        <w:rPr>
          <w:rFonts w:hint="eastAsia" w:ascii="仿宋_GB2312" w:eastAsia="仿宋_GB2312"/>
          <w:color w:val="auto"/>
          <w:sz w:val="32"/>
          <w:szCs w:val="32"/>
        </w:rPr>
        <w:t>（预约指南：“i深圳”APP或“深圳掌上政务”小程序。操作流程：【办事预约】或【预约取号】—【深圳市行政服务大厅西厅】。请按照预约时段提交材料。）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（四）咨询电话：</w:t>
      </w:r>
      <w:r>
        <w:rPr>
          <w:rFonts w:hint="eastAsia" w:ascii="仿宋_GB2312" w:hAnsi="仿宋_GB2312" w:eastAsia="仿宋_GB2312" w:cs="仿宋_GB2312"/>
          <w:color w:val="auto"/>
          <w:sz w:val="32"/>
          <w:szCs w:val="32"/>
        </w:rPr>
        <w:t>0755-88916893、88916958、88916850；系统技术服务电话：0755-</w:t>
      </w:r>
      <w:r>
        <w:rPr>
          <w:rFonts w:hint="default" w:ascii="仿宋_GB2312" w:hAnsi="仿宋_GB2312" w:eastAsia="仿宋_GB2312" w:cs="仿宋_GB2312"/>
          <w:color w:val="auto"/>
          <w:sz w:val="32"/>
          <w:szCs w:val="32"/>
          <w:lang w:val="en-US"/>
        </w:rPr>
        <w:t>88102445</w:t>
      </w:r>
      <w:r>
        <w:rPr>
          <w:rFonts w:hint="eastAsia" w:ascii="仿宋_GB2312" w:hAnsi="仿宋_GB2312" w:eastAsia="仿宋_GB2312" w:cs="仿宋_GB2312"/>
          <w:color w:val="auto"/>
          <w:sz w:val="32"/>
          <w:szCs w:val="32"/>
        </w:rPr>
        <w:t>（工作日上午9:00-12:00，下午2:00-6:00）。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九、申请决定机关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深圳市商务局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十、办理流程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发布申请指南——</w:t>
      </w:r>
      <w:r>
        <w:rPr>
          <w:rFonts w:hint="eastAsia" w:ascii="仿宋_GB2312" w:eastAsia="仿宋_GB2312"/>
          <w:color w:val="auto"/>
          <w:sz w:val="32"/>
          <w:szCs w:val="32"/>
          <w:lang w:eastAsia="zh-CN"/>
        </w:rPr>
        <w:t>申报</w:t>
      </w:r>
      <w:r>
        <w:rPr>
          <w:rFonts w:hint="eastAsia" w:ascii="仿宋_GB2312" w:eastAsia="仿宋_GB2312"/>
          <w:color w:val="auto"/>
          <w:sz w:val="32"/>
          <w:szCs w:val="32"/>
        </w:rPr>
        <w:t>单位网上申报——初审——</w:t>
      </w:r>
      <w:r>
        <w:rPr>
          <w:rFonts w:hint="eastAsia" w:ascii="仿宋_GB2312" w:eastAsia="仿宋_GB2312"/>
          <w:color w:val="auto"/>
          <w:sz w:val="32"/>
          <w:szCs w:val="32"/>
          <w:lang w:eastAsia="zh-CN"/>
        </w:rPr>
        <w:t>申报</w:t>
      </w:r>
      <w:r>
        <w:rPr>
          <w:rFonts w:hint="eastAsia" w:ascii="仿宋_GB2312" w:eastAsia="仿宋_GB2312"/>
          <w:color w:val="auto"/>
          <w:sz w:val="32"/>
          <w:szCs w:val="32"/>
        </w:rPr>
        <w:t>单位向市行政服务大厅收文窗口提交申请材料——形式审查——资质审查——专项审计</w:t>
      </w:r>
      <w:r>
        <w:rPr>
          <w:rFonts w:hint="eastAsia" w:ascii="仿宋_GB2312" w:eastAsia="仿宋_GB2312"/>
          <w:color w:val="auto"/>
          <w:sz w:val="32"/>
          <w:szCs w:val="32"/>
          <w:lang w:eastAsia="zh-CN"/>
        </w:rPr>
        <w:t>（国家电子商务示范基地奖励项目除外）</w:t>
      </w:r>
      <w:r>
        <w:rPr>
          <w:rFonts w:hint="eastAsia" w:ascii="仿宋_GB2312" w:eastAsia="仿宋_GB2312"/>
          <w:color w:val="auto"/>
          <w:sz w:val="32"/>
          <w:szCs w:val="32"/>
        </w:rPr>
        <w:t>——征求相关单位意见（</w:t>
      </w:r>
      <w:r>
        <w:rPr>
          <w:rFonts w:hint="eastAsia" w:ascii="仿宋_GB2312" w:hAnsi="仿宋" w:eastAsia="仿宋_GB2312"/>
          <w:color w:val="auto"/>
          <w:sz w:val="32"/>
          <w:szCs w:val="32"/>
        </w:rPr>
        <w:t>根据需要</w:t>
      </w:r>
      <w:r>
        <w:rPr>
          <w:rFonts w:hint="eastAsia" w:ascii="仿宋_GB2312" w:hAnsi="仿宋" w:eastAsia="仿宋_GB2312"/>
          <w:color w:val="auto"/>
          <w:sz w:val="32"/>
          <w:szCs w:val="32"/>
          <w:lang w:eastAsia="zh-CN"/>
        </w:rPr>
        <w:t>核查比对：资质情况</w:t>
      </w:r>
      <w:r>
        <w:rPr>
          <w:rFonts w:hint="default" w:ascii="仿宋_GB2312" w:hAnsi="仿宋" w:eastAsia="仿宋_GB2312"/>
          <w:color w:val="auto"/>
          <w:sz w:val="32"/>
          <w:szCs w:val="32"/>
          <w:lang w:eastAsia="zh-CN"/>
        </w:rPr>
        <w:t>，</w:t>
      </w:r>
      <w:r>
        <w:rPr>
          <w:rFonts w:hint="eastAsia" w:ascii="仿宋_GB2312" w:hAnsi="仿宋" w:eastAsia="仿宋_GB2312"/>
          <w:color w:val="auto"/>
          <w:sz w:val="32"/>
          <w:szCs w:val="32"/>
        </w:rPr>
        <w:t>有无重大违法违规行为</w:t>
      </w:r>
      <w:r>
        <w:rPr>
          <w:rFonts w:hint="eastAsia" w:ascii="仿宋_GB2312" w:hAnsi="仿宋" w:eastAsia="仿宋_GB2312"/>
          <w:color w:val="auto"/>
          <w:sz w:val="32"/>
          <w:szCs w:val="32"/>
          <w:lang w:eastAsia="zh-CN"/>
        </w:rPr>
        <w:t>，</w:t>
      </w:r>
      <w:r>
        <w:rPr>
          <w:rFonts w:hint="eastAsia" w:ascii="仿宋_GB2312" w:eastAsia="仿宋_GB2312"/>
          <w:color w:val="auto"/>
          <w:sz w:val="32"/>
          <w:szCs w:val="32"/>
          <w:lang w:val="en-US" w:eastAsia="zh-CN"/>
        </w:rPr>
        <w:t>有</w:t>
      </w:r>
      <w:r>
        <w:rPr>
          <w:rFonts w:hint="default" w:ascii="仿宋_GB2312" w:eastAsia="仿宋_GB2312"/>
          <w:color w:val="auto"/>
          <w:sz w:val="32"/>
          <w:szCs w:val="32"/>
          <w:lang w:eastAsia="zh-CN"/>
        </w:rPr>
        <w:t>无</w:t>
      </w:r>
      <w:r>
        <w:rPr>
          <w:rFonts w:hint="eastAsia" w:ascii="仿宋_GB2312" w:eastAsia="仿宋_GB2312"/>
          <w:color w:val="auto"/>
          <w:sz w:val="32"/>
          <w:szCs w:val="32"/>
          <w:lang w:val="en-US" w:eastAsia="zh-CN"/>
        </w:rPr>
        <w:t>被国家、省、市相关部门纳入严重失信主体名单实施失信惩戒</w:t>
      </w:r>
      <w:r>
        <w:rPr>
          <w:rFonts w:hint="eastAsia" w:ascii="仿宋_GB2312" w:eastAsia="仿宋_GB2312"/>
          <w:color w:val="auto"/>
          <w:sz w:val="32"/>
          <w:szCs w:val="32"/>
        </w:rPr>
        <w:t>）——核定拟</w:t>
      </w:r>
      <w:r>
        <w:rPr>
          <w:rFonts w:hint="eastAsia" w:ascii="仿宋_GB2312" w:eastAsia="仿宋_GB2312"/>
          <w:color w:val="auto"/>
          <w:sz w:val="32"/>
          <w:szCs w:val="32"/>
          <w:lang w:eastAsia="zh-CN"/>
        </w:rPr>
        <w:t>奖励</w:t>
      </w:r>
      <w:r>
        <w:rPr>
          <w:rFonts w:hint="eastAsia" w:ascii="仿宋_GB2312" w:eastAsia="仿宋_GB2312"/>
          <w:color w:val="auto"/>
          <w:sz w:val="32"/>
          <w:szCs w:val="32"/>
        </w:rPr>
        <w:t>计划——社会公示——下达</w:t>
      </w:r>
      <w:r>
        <w:rPr>
          <w:rFonts w:hint="eastAsia" w:ascii="仿宋_GB2312" w:eastAsia="仿宋_GB2312"/>
          <w:color w:val="auto"/>
          <w:sz w:val="32"/>
          <w:szCs w:val="32"/>
          <w:lang w:eastAsia="zh-CN"/>
        </w:rPr>
        <w:t>奖励</w:t>
      </w:r>
      <w:r>
        <w:rPr>
          <w:rFonts w:hint="eastAsia" w:ascii="仿宋_GB2312" w:eastAsia="仿宋_GB2312"/>
          <w:color w:val="auto"/>
          <w:sz w:val="32"/>
          <w:szCs w:val="32"/>
        </w:rPr>
        <w:t>计划——申请人提交拨付资料——拨付资金。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十一、办理时限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default" w:ascii="仿宋_GB2312" w:eastAsia="仿宋_GB2312"/>
          <w:color w:val="auto"/>
          <w:sz w:val="32"/>
          <w:szCs w:val="32"/>
        </w:rPr>
        <w:t>材料提交时间截止日起</w:t>
      </w:r>
      <w:r>
        <w:rPr>
          <w:rFonts w:hint="eastAsia" w:ascii="仿宋_GB2312" w:eastAsia="仿宋_GB2312"/>
          <w:color w:val="auto"/>
          <w:sz w:val="32"/>
          <w:szCs w:val="32"/>
          <w:lang w:val="en-US" w:eastAsia="zh-CN"/>
        </w:rPr>
        <w:t>90</w:t>
      </w:r>
      <w:r>
        <w:rPr>
          <w:rFonts w:hint="default" w:ascii="仿宋_GB2312" w:eastAsia="仿宋_GB2312"/>
          <w:color w:val="auto"/>
          <w:sz w:val="32"/>
          <w:szCs w:val="32"/>
        </w:rPr>
        <w:t>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十二、证件及有效期</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color w:val="auto"/>
          <w:sz w:val="32"/>
          <w:szCs w:val="32"/>
        </w:rPr>
      </w:pPr>
      <w:r>
        <w:rPr>
          <w:rFonts w:hint="eastAsia" w:ascii="仿宋_GB2312" w:eastAsia="仿宋_GB2312"/>
          <w:color w:val="auto"/>
          <w:sz w:val="32"/>
          <w:szCs w:val="32"/>
        </w:rPr>
        <w:t>证件：无</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color w:val="auto"/>
          <w:sz w:val="32"/>
          <w:szCs w:val="32"/>
        </w:rPr>
      </w:pPr>
      <w:r>
        <w:rPr>
          <w:rFonts w:hint="eastAsia" w:ascii="仿宋_GB2312" w:eastAsia="仿宋_GB2312"/>
          <w:color w:val="auto"/>
          <w:sz w:val="32"/>
          <w:szCs w:val="32"/>
        </w:rPr>
        <w:t>有效期限：无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十三、证件的法律效力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十四、收费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十五、年审或年检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十六、补充说明</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color w:val="auto"/>
          <w:sz w:val="32"/>
          <w:szCs w:val="32"/>
        </w:rPr>
      </w:pPr>
      <w:r>
        <w:rPr>
          <w:rFonts w:hint="eastAsia" w:ascii="仿宋_GB2312" w:eastAsia="仿宋_GB2312"/>
          <w:color w:val="auto"/>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
        <w:rPr>
          <w:rFonts w:hint="eastAsia" w:ascii="仿宋_GB2312" w:eastAsia="仿宋_GB2312"/>
          <w:color w:val="auto"/>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星仿宋">
    <w:altName w:val="方正仿宋_GBK"/>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8DC06B7"/>
    <w:rsid w:val="B8DC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eastAsia="文星仿宋"/>
      <w:sz w:val="32"/>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Normal (Web)"/>
    <w:basedOn w:val="1"/>
    <w:qFormat/>
    <w:uiPriority w:val="0"/>
    <w:pPr>
      <w:jc w:val="left"/>
    </w:pPr>
    <w:rPr>
      <w:rFonts w:ascii="Times New Roman" w:hAnsi="Times New Roman"/>
      <w:kern w:val="0"/>
      <w:sz w:val="24"/>
    </w:rPr>
  </w:style>
  <w:style w:type="paragraph" w:customStyle="1" w:styleId="9">
    <w:name w:val="文件正文"/>
    <w:basedOn w:val="5"/>
    <w:qFormat/>
    <w:uiPriority w:val="0"/>
    <w:pPr>
      <w:snapToGrid/>
      <w:spacing w:line="560" w:lineRule="exact"/>
      <w:ind w:firstLine="622" w:firstLineChars="200"/>
      <w:jc w:val="both"/>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2023-02-06T10:17:00Z</dcterms:created>
  <dc:creator>网站运维(陈梓标)</dc:creator>
  <cp:lastModifiedBy>网站运维(陈梓标)</cp:lastModifiedBy>
  <dcterms:modified xsi:type="dcterms:W3CDTF">2023-02-06T10:18:50Z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