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黑体" w:hAnsi="黑体" w:eastAsia="黑体" w:cs="黑体"/>
          <w:color w:val="auto"/>
          <w:szCs w:val="32"/>
          <w:lang w:val="en-US" w:eastAsia="zh-CN"/>
        </w:rPr>
      </w:pPr>
      <w:r>
        <w:rPr>
          <w:rFonts w:hint="eastAsia" w:ascii="黑体" w:hAnsi="黑体" w:eastAsia="黑体" w:cs="黑体"/>
          <w:color w:val="auto"/>
          <w:szCs w:val="32"/>
          <w:lang w:eastAsia="zh-CN"/>
        </w:rPr>
        <w:t>附件</w:t>
      </w:r>
      <w:r>
        <w:rPr>
          <w:rFonts w:hint="eastAsia" w:ascii="黑体" w:hAnsi="黑体" w:eastAsia="黑体" w:cs="黑体"/>
          <w:color w:val="auto"/>
          <w:szCs w:val="32"/>
          <w:lang w:val="en-US" w:eastAsia="zh-CN"/>
        </w:rPr>
        <w:t>2</w:t>
      </w:r>
    </w:p>
    <w:p>
      <w:pPr>
        <w:pStyle w:val="2"/>
        <w:rPr>
          <w:rFonts w:hint="default" w:ascii="Times New Roman" w:hAnsi="Times New Roman" w:cs="Times New Roman"/>
          <w:color w:val="auto"/>
          <w:szCs w:val="32"/>
        </w:rPr>
      </w:pPr>
    </w:p>
    <w:p>
      <w:pPr>
        <w:rPr>
          <w:rFonts w:hint="default"/>
        </w:rPr>
      </w:pPr>
      <w:bookmarkStart w:id="79" w:name="_GoBack"/>
      <w:bookmarkEnd w:id="79"/>
    </w:p>
    <w:p>
      <w:pPr>
        <w:spacing w:line="560" w:lineRule="exact"/>
        <w:ind w:firstLine="0" w:firstLineChars="0"/>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Times New Roman" w:hAnsi="Times New Roman" w:eastAsia="方正公文小标宋" w:cs="Times New Roman"/>
          <w:color w:val="auto"/>
          <w:sz w:val="56"/>
          <w:szCs w:val="56"/>
        </w:rPr>
      </w:pPr>
      <w:r>
        <w:rPr>
          <w:rFonts w:hint="default" w:ascii="Times New Roman" w:hAnsi="Times New Roman" w:eastAsia="方正公文小标宋" w:cs="Times New Roman"/>
          <w:color w:val="auto"/>
          <w:sz w:val="56"/>
          <w:szCs w:val="56"/>
        </w:rPr>
        <w:t>深圳市金融科技专项发展规划</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hAnsi="方正小标宋_GBK" w:eastAsia="方正小标宋_GBK" w:cs="方正小标宋_GBK"/>
          <w:color w:val="auto"/>
          <w:sz w:val="56"/>
          <w:szCs w:val="56"/>
        </w:rPr>
      </w:pPr>
      <w:r>
        <w:rPr>
          <w:rFonts w:hint="eastAsia" w:ascii="方正小标宋_GBK" w:hAnsi="方正小标宋_GBK" w:eastAsia="方正小标宋_GBK" w:cs="方正小标宋_GBK"/>
          <w:color w:val="auto"/>
          <w:sz w:val="56"/>
          <w:szCs w:val="56"/>
        </w:rPr>
        <w:t>（</w:t>
      </w:r>
      <w:r>
        <w:rPr>
          <w:rFonts w:hint="eastAsia" w:ascii="方正小标宋_GBK" w:hAnsi="方正小标宋_GBK" w:eastAsia="方正小标宋_GBK" w:cs="方正小标宋_GBK"/>
          <w:color w:val="auto"/>
          <w:sz w:val="56"/>
          <w:szCs w:val="56"/>
          <w:lang w:val="en-US" w:eastAsia="zh-CN"/>
        </w:rPr>
        <w:t>2022-2025年</w:t>
      </w:r>
      <w:r>
        <w:rPr>
          <w:rFonts w:hint="eastAsia" w:ascii="方正小标宋_GBK" w:hAnsi="方正小标宋_GBK" w:eastAsia="方正小标宋_GBK" w:cs="方正小标宋_GBK"/>
          <w:color w:val="auto"/>
          <w:sz w:val="56"/>
          <w:szCs w:val="56"/>
        </w:rPr>
        <w:t>）</w:t>
      </w:r>
    </w:p>
    <w:p>
      <w:pPr>
        <w:spacing w:line="560" w:lineRule="exact"/>
        <w:ind w:firstLine="0" w:firstLineChars="0"/>
        <w:jc w:val="center"/>
        <w:rPr>
          <w:rFonts w:hint="default" w:ascii="Times New Roman" w:hAnsi="Times New Roman" w:eastAsia="楷体" w:cs="Times New Roman"/>
          <w:color w:val="auto"/>
          <w:sz w:val="44"/>
          <w:szCs w:val="44"/>
        </w:rPr>
      </w:pPr>
    </w:p>
    <w:p>
      <w:pPr>
        <w:spacing w:line="560" w:lineRule="exact"/>
        <w:ind w:firstLine="0" w:firstLineChars="0"/>
        <w:jc w:val="center"/>
        <w:rPr>
          <w:rFonts w:hint="eastAsia" w:ascii="楷体_GB2312" w:hAnsi="楷体_GB2312" w:eastAsia="楷体_GB2312" w:cs="楷体_GB2312"/>
          <w:color w:val="auto"/>
          <w:sz w:val="44"/>
          <w:szCs w:val="44"/>
        </w:rPr>
      </w:pPr>
      <w:r>
        <w:rPr>
          <w:rFonts w:hint="eastAsia" w:ascii="楷体_GB2312" w:hAnsi="楷体_GB2312" w:eastAsia="楷体_GB2312" w:cs="楷体_GB2312"/>
          <w:color w:val="auto"/>
          <w:sz w:val="44"/>
          <w:szCs w:val="44"/>
        </w:rPr>
        <w:t>（公开征求意见稿）</w:t>
      </w: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r>
        <w:rPr>
          <w:rFonts w:hint="default" w:ascii="Times New Roman" w:hAnsi="Times New Roman" w:cs="Times New Roman"/>
          <w:color w:val="auto"/>
          <w:szCs w:val="32"/>
        </w:rPr>
        <w:t>202</w:t>
      </w:r>
      <w:r>
        <w:rPr>
          <w:rFonts w:hint="default" w:ascii="Times New Roman" w:hAnsi="Times New Roman" w:cs="Times New Roman"/>
          <w:color w:val="auto"/>
          <w:szCs w:val="32"/>
          <w:lang w:val="en-US" w:eastAsia="zh-CN"/>
        </w:rPr>
        <w:t>2</w:t>
      </w:r>
      <w:r>
        <w:rPr>
          <w:rFonts w:hint="default" w:ascii="Times New Roman" w:hAnsi="Times New Roman" w:cs="Times New Roman"/>
          <w:color w:val="auto"/>
          <w:szCs w:val="32"/>
        </w:rPr>
        <w:t>年</w:t>
      </w:r>
      <w:r>
        <w:rPr>
          <w:rFonts w:hint="eastAsia" w:ascii="Times New Roman" w:hAnsi="Times New Roman" w:cs="Times New Roman"/>
          <w:color w:val="auto"/>
          <w:szCs w:val="32"/>
          <w:lang w:val="en-US" w:eastAsia="zh-CN"/>
        </w:rPr>
        <w:t>9</w:t>
      </w:r>
      <w:r>
        <w:rPr>
          <w:rFonts w:hint="default" w:ascii="Times New Roman" w:hAnsi="Times New Roman" w:cs="Times New Roman"/>
          <w:color w:val="auto"/>
          <w:szCs w:val="32"/>
        </w:rPr>
        <w:t>月</w:t>
      </w:r>
    </w:p>
    <w:p>
      <w:pPr>
        <w:spacing w:line="560" w:lineRule="exact"/>
        <w:rPr>
          <w:rFonts w:hint="default" w:ascii="Times New Roman" w:hAnsi="Times New Roman" w:cs="Times New Roman"/>
          <w:color w:val="auto"/>
          <w:szCs w:val="32"/>
        </w:rPr>
      </w:pPr>
    </w:p>
    <w:p>
      <w:pPr>
        <w:spacing w:line="560" w:lineRule="exact"/>
        <w:ind w:left="0" w:leftChars="0" w:firstLine="0" w:firstLineChars="0"/>
        <w:jc w:val="center"/>
        <w:rPr>
          <w:rFonts w:hint="default" w:ascii="Times New Roman" w:hAnsi="Times New Roman" w:eastAsia="方正公文小标宋" w:cs="Times New Roman"/>
          <w:color w:val="auto"/>
          <w:sz w:val="36"/>
          <w:szCs w:val="36"/>
        </w:rPr>
        <w:sectPr>
          <w:footerReference r:id="rId5" w:type="default"/>
          <w:footerReference r:id="rId6" w:type="even"/>
          <w:pgSz w:w="11906" w:h="16838"/>
          <w:pgMar w:top="1984" w:right="1474" w:bottom="1417" w:left="1587" w:header="1361" w:footer="850" w:gutter="0"/>
          <w:pgNumType w:fmt="decimal" w:start="1"/>
          <w:cols w:space="0" w:num="1"/>
          <w:rtlGutter w:val="0"/>
          <w:docGrid w:type="lines" w:linePitch="435" w:charSpace="0"/>
        </w:sectPr>
      </w:pPr>
    </w:p>
    <w:p>
      <w:pPr>
        <w:pStyle w:val="2"/>
        <w:rPr>
          <w:rFonts w:hint="default"/>
        </w:rPr>
      </w:pPr>
    </w:p>
    <w:p>
      <w:pPr>
        <w:spacing w:line="560" w:lineRule="exact"/>
        <w:ind w:left="0" w:leftChars="0" w:firstLine="0" w:firstLineChars="0"/>
        <w:jc w:val="center"/>
        <w:rPr>
          <w:rFonts w:hint="default" w:ascii="Times New Roman" w:hAnsi="Times New Roman" w:eastAsia="方正公文小标宋" w:cs="Times New Roman"/>
          <w:color w:val="auto"/>
          <w:sz w:val="36"/>
          <w:szCs w:val="36"/>
        </w:rPr>
      </w:pPr>
      <w:r>
        <w:rPr>
          <w:rFonts w:hint="default" w:ascii="Times New Roman" w:hAnsi="Times New Roman" w:eastAsia="方正公文小标宋" w:cs="Times New Roman"/>
          <w:color w:val="auto"/>
          <w:sz w:val="36"/>
          <w:szCs w:val="36"/>
        </w:rPr>
        <w:t>前</w:t>
      </w:r>
      <w:r>
        <w:rPr>
          <w:rFonts w:hint="eastAsia" w:ascii="Times New Roman" w:hAnsi="Times New Roman" w:eastAsia="方正公文小标宋" w:cs="Times New Roman"/>
          <w:color w:val="auto"/>
          <w:sz w:val="36"/>
          <w:szCs w:val="36"/>
          <w:lang w:val="en-US" w:eastAsia="zh-CN"/>
        </w:rPr>
        <w:t xml:space="preserve"> </w:t>
      </w:r>
      <w:r>
        <w:rPr>
          <w:rFonts w:hint="default" w:ascii="Times New Roman" w:hAnsi="Times New Roman" w:eastAsia="方正公文小标宋" w:cs="Times New Roman"/>
          <w:color w:val="auto"/>
          <w:sz w:val="36"/>
          <w:szCs w:val="36"/>
        </w:rPr>
        <w:t>言</w:t>
      </w:r>
    </w:p>
    <w:p>
      <w:pPr>
        <w:spacing w:line="560" w:lineRule="exact"/>
        <w:ind w:firstLine="640" w:firstLineChars="200"/>
        <w:rPr>
          <w:rFonts w:hint="default" w:ascii="Times New Roman" w:hAnsi="Times New Roman" w:cs="Times New Roman"/>
          <w:color w:val="auto"/>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金融科技作为金融与科技深度融合的产物，正日益成为数字化时代全球金融创新和金融竞争的制高点。当前</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金融科技行业迅速崛起</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展现出良好的势头，成为推动经济高质量发展的强劲力量。深圳正依托科技创新推动金融高质量发展，不断提升金融科技水平，健全金融科技生态。</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44"/>
          <w:szCs w:val="32"/>
        </w:rPr>
      </w:pPr>
      <w:r>
        <w:rPr>
          <w:rFonts w:hint="eastAsia" w:ascii="仿宋_GB2312" w:hAnsi="仿宋_GB2312" w:eastAsia="仿宋_GB2312" w:cs="仿宋_GB2312"/>
          <w:color w:val="auto"/>
          <w:szCs w:val="32"/>
        </w:rPr>
        <w:t>为践行新发展理念，</w:t>
      </w:r>
      <w:r>
        <w:rPr>
          <w:rFonts w:hint="eastAsia" w:ascii="仿宋_GB2312" w:hAnsi="仿宋_GB2312" w:eastAsia="仿宋_GB2312" w:cs="仿宋_GB2312"/>
          <w:color w:val="auto"/>
          <w:kern w:val="44"/>
          <w:szCs w:val="32"/>
        </w:rPr>
        <w:t>努力打造创新驱动发展的现代化经济体系典范，助力深圳</w:t>
      </w:r>
      <w:r>
        <w:rPr>
          <w:rFonts w:hint="eastAsia" w:ascii="仿宋_GB2312" w:hAnsi="仿宋_GB2312" w:eastAsia="仿宋_GB2312" w:cs="仿宋_GB2312"/>
          <w:color w:val="auto"/>
          <w:szCs w:val="32"/>
        </w:rPr>
        <w:t>建设全球金融科技中心</w:t>
      </w:r>
      <w:r>
        <w:rPr>
          <w:rFonts w:hint="eastAsia" w:ascii="仿宋_GB2312" w:hAnsi="仿宋_GB2312" w:eastAsia="仿宋_GB2312" w:cs="仿宋_GB2312"/>
          <w:color w:val="auto"/>
          <w:kern w:val="44"/>
          <w:szCs w:val="32"/>
        </w:rPr>
        <w:t>，根据《粤港澳大湾区发展规划纲要》《中共中央 国务院关于支持深圳建设中国特色社会主义先行示范区的意见》《深圳建设中国特色社会主义先行示范区综合改革试点实施方案（2020-2025年）》</w:t>
      </w:r>
      <w:r>
        <w:rPr>
          <w:rFonts w:hint="eastAsia" w:ascii="仿宋_GB2312" w:hAnsi="仿宋_GB2312" w:eastAsia="仿宋_GB2312" w:cs="仿宋_GB2312"/>
          <w:color w:val="auto"/>
          <w:szCs w:val="32"/>
        </w:rPr>
        <w:t>《中华人民共和国国民经济和社会发展第十四个五年规划和2035年远景目标纲要》</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中国人民银行《金融科技发展规划（2022—2025年）》（银发〔2021〕335号文印发）以及</w:t>
      </w:r>
      <w:r>
        <w:rPr>
          <w:rFonts w:hint="eastAsia" w:cs="仿宋_GB2312"/>
          <w:color w:val="auto"/>
          <w:szCs w:val="32"/>
          <w:lang w:eastAsia="zh-CN"/>
        </w:rPr>
        <w:t>《</w:t>
      </w:r>
      <w:r>
        <w:rPr>
          <w:rFonts w:hint="eastAsia" w:ascii="仿宋_GB2312" w:hAnsi="仿宋_GB2312" w:eastAsia="仿宋_GB2312" w:cs="仿宋_GB2312"/>
          <w:color w:val="auto"/>
          <w:szCs w:val="32"/>
        </w:rPr>
        <w:t>深圳市国民经济和社会发展第十四个五年规划和二〇三五年远景目标纲要</w:t>
      </w:r>
      <w:r>
        <w:rPr>
          <w:rFonts w:hint="eastAsia" w:cs="仿宋_GB2312"/>
          <w:color w:val="auto"/>
          <w:szCs w:val="32"/>
          <w:lang w:eastAsia="zh-CN"/>
        </w:rPr>
        <w:t>》</w:t>
      </w:r>
      <w:r>
        <w:rPr>
          <w:rFonts w:hint="eastAsia" w:ascii="仿宋_GB2312" w:hAnsi="仿宋_GB2312" w:eastAsia="仿宋_GB2312" w:cs="仿宋_GB2312"/>
          <w:color w:val="auto"/>
          <w:kern w:val="44"/>
          <w:szCs w:val="32"/>
        </w:rPr>
        <w:t>《深圳市金融业高质量发展</w:t>
      </w:r>
      <w:r>
        <w:rPr>
          <w:rFonts w:hint="eastAsia" w:ascii="仿宋_GB2312" w:hAnsi="仿宋_GB2312" w:eastAsia="仿宋_GB2312" w:cs="仿宋_GB2312"/>
          <w:color w:val="auto"/>
          <w:kern w:val="44"/>
          <w:szCs w:val="32"/>
          <w:lang w:eastAsia="zh-CN"/>
        </w:rPr>
        <w:t>“</w:t>
      </w:r>
      <w:r>
        <w:rPr>
          <w:rFonts w:hint="eastAsia" w:ascii="仿宋_GB2312" w:hAnsi="仿宋_GB2312" w:eastAsia="仿宋_GB2312" w:cs="仿宋_GB2312"/>
          <w:color w:val="auto"/>
          <w:kern w:val="44"/>
          <w:szCs w:val="32"/>
        </w:rPr>
        <w:t>十四五</w:t>
      </w:r>
      <w:r>
        <w:rPr>
          <w:rFonts w:hint="eastAsia" w:ascii="仿宋_GB2312" w:hAnsi="仿宋_GB2312" w:eastAsia="仿宋_GB2312" w:cs="仿宋_GB2312"/>
          <w:color w:val="auto"/>
          <w:kern w:val="44"/>
          <w:szCs w:val="32"/>
          <w:lang w:eastAsia="zh-CN"/>
        </w:rPr>
        <w:t>”</w:t>
      </w:r>
      <w:r>
        <w:rPr>
          <w:rFonts w:hint="eastAsia" w:ascii="仿宋_GB2312" w:hAnsi="仿宋_GB2312" w:eastAsia="仿宋_GB2312" w:cs="仿宋_GB2312"/>
          <w:color w:val="auto"/>
          <w:kern w:val="44"/>
          <w:szCs w:val="32"/>
        </w:rPr>
        <w:t>规划》</w:t>
      </w:r>
      <w:r>
        <w:rPr>
          <w:rFonts w:hint="eastAsia" w:ascii="仿宋_GB2312" w:hAnsi="仿宋_GB2312" w:eastAsia="仿宋_GB2312" w:cs="仿宋_GB2312"/>
          <w:color w:val="auto"/>
          <w:szCs w:val="32"/>
        </w:rPr>
        <w:t>等文件精神，</w:t>
      </w:r>
      <w:r>
        <w:rPr>
          <w:rFonts w:hint="eastAsia" w:ascii="仿宋_GB2312" w:hAnsi="仿宋_GB2312" w:eastAsia="仿宋_GB2312" w:cs="仿宋_GB2312"/>
          <w:color w:val="auto"/>
          <w:kern w:val="44"/>
          <w:szCs w:val="32"/>
        </w:rPr>
        <w:t>编制本规划。</w:t>
      </w:r>
    </w:p>
    <w:p>
      <w:pPr>
        <w:spacing w:line="560" w:lineRule="exact"/>
        <w:ind w:firstLine="640" w:firstLineChars="200"/>
        <w:rPr>
          <w:rFonts w:hint="default" w:ascii="Times New Roman" w:hAnsi="Times New Roman" w:cs="Times New Roman"/>
          <w:color w:val="auto"/>
          <w:szCs w:val="32"/>
        </w:rPr>
      </w:pPr>
    </w:p>
    <w:p>
      <w:pPr>
        <w:spacing w:line="560" w:lineRule="exact"/>
        <w:ind w:firstLine="640" w:firstLineChars="200"/>
        <w:rPr>
          <w:rFonts w:hint="default" w:ascii="Times New Roman" w:hAnsi="Times New Roman" w:cs="Times New Roman"/>
          <w:color w:val="auto"/>
          <w:szCs w:val="32"/>
        </w:rPr>
      </w:pPr>
    </w:p>
    <w:p>
      <w:pPr>
        <w:spacing w:line="560" w:lineRule="exact"/>
        <w:ind w:firstLine="640" w:firstLineChars="200"/>
        <w:rPr>
          <w:rFonts w:hint="default" w:ascii="Times New Roman" w:hAnsi="Times New Roman" w:cs="Times New Roman"/>
          <w:color w:val="auto"/>
          <w:szCs w:val="32"/>
        </w:rPr>
      </w:pPr>
    </w:p>
    <w:p>
      <w:pPr>
        <w:pStyle w:val="23"/>
        <w:spacing w:after="140" w:afterLines="0" w:line="260" w:lineRule="auto"/>
        <w:jc w:val="center"/>
        <w:rPr>
          <w:rFonts w:hint="default" w:ascii="Times New Roman" w:hAnsi="Times New Roman" w:eastAsia="仿宋_GB2312" w:cs="Times New Roman"/>
          <w:color w:val="auto"/>
          <w:kern w:val="2"/>
          <w:szCs w:val="22"/>
          <w:lang w:val="zh-CN"/>
        </w:rPr>
      </w:pPr>
    </w:p>
    <w:sdt>
      <w:sdtPr>
        <w:rPr>
          <w:rFonts w:hint="eastAsia" w:ascii="方正楷体_GB2312" w:hAnsi="方正楷体_GB2312" w:eastAsia="方正楷体_GB2312" w:cs="方正楷体_GB2312"/>
          <w:b/>
          <w:bCs/>
          <w:color w:val="auto"/>
          <w:kern w:val="2"/>
          <w:sz w:val="36"/>
          <w:szCs w:val="36"/>
          <w:highlight w:val="none"/>
          <w:lang w:val="zh-CN"/>
        </w:rPr>
        <w:id w:val="689648556"/>
      </w:sdtPr>
      <w:sdtEndPr>
        <w:rPr>
          <w:rFonts w:hint="eastAsia" w:ascii="方正楷体_GB2312" w:hAnsi="方正楷体_GB2312" w:eastAsia="方正楷体_GB2312" w:cs="方正楷体_GB2312"/>
          <w:b/>
          <w:bCs/>
          <w:color w:val="auto"/>
          <w:kern w:val="2"/>
          <w:sz w:val="24"/>
          <w:szCs w:val="24"/>
          <w:highlight w:val="yellow"/>
          <w:lang w:val="zh-CN"/>
        </w:rPr>
      </w:sdtEndPr>
      <w:sdtContent>
        <w:p>
          <w:pPr>
            <w:pStyle w:val="23"/>
            <w:spacing w:after="140" w:afterLines="0" w:line="260" w:lineRule="auto"/>
            <w:jc w:val="center"/>
            <w:rPr>
              <w:rFonts w:hint="eastAsia" w:ascii="方正楷体_GB2312" w:hAnsi="方正楷体_GB2312" w:eastAsia="方正楷体_GB2312" w:cs="方正楷体_GB2312"/>
              <w:b/>
              <w:bCs/>
              <w:color w:val="auto"/>
              <w:sz w:val="36"/>
              <w:szCs w:val="36"/>
              <w:highlight w:val="none"/>
            </w:rPr>
          </w:pPr>
          <w:r>
            <w:rPr>
              <w:rFonts w:hint="eastAsia" w:ascii="方正楷体_GB2312" w:hAnsi="方正楷体_GB2312" w:eastAsia="方正楷体_GB2312" w:cs="方正楷体_GB2312"/>
              <w:b/>
              <w:bCs/>
              <w:color w:val="auto"/>
              <w:sz w:val="36"/>
              <w:szCs w:val="36"/>
              <w:highlight w:val="none"/>
              <w:lang w:val="zh-CN"/>
            </w:rPr>
            <w:t>目录</w:t>
          </w:r>
        </w:p>
        <w:p>
          <w:pPr>
            <w:pStyle w:val="10"/>
            <w:tabs>
              <w:tab w:val="right" w:leader="dot" w:pos="8504"/>
              <w:tab w:val="clear" w:pos="8296"/>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color w:val="auto"/>
              <w:sz w:val="24"/>
              <w:szCs w:val="24"/>
            </w:rPr>
            <w:fldChar w:fldCharType="begin"/>
          </w:r>
          <w:r>
            <w:rPr>
              <w:rFonts w:hint="eastAsia" w:ascii="方正楷体_GB2312" w:hAnsi="方正楷体_GB2312" w:eastAsia="方正楷体_GB2312" w:cs="方正楷体_GB2312"/>
              <w:color w:val="auto"/>
              <w:sz w:val="24"/>
              <w:szCs w:val="24"/>
            </w:rPr>
            <w:instrText xml:space="preserve"> TOC \o "1-3" \h \z \u </w:instrText>
          </w:r>
          <w:r>
            <w:rPr>
              <w:rFonts w:hint="eastAsia" w:ascii="方正楷体_GB2312" w:hAnsi="方正楷体_GB2312" w:eastAsia="方正楷体_GB2312" w:cs="方正楷体_GB2312"/>
              <w:color w:val="auto"/>
              <w:sz w:val="24"/>
              <w:szCs w:val="24"/>
            </w:rPr>
            <w:fldChar w:fldCharType="separate"/>
          </w:r>
          <w:r>
            <w:rPr>
              <w:rFonts w:hint="eastAsia" w:ascii="黑体" w:hAnsi="黑体" w:eastAsia="黑体" w:cs="黑体"/>
              <w:color w:val="auto"/>
              <w:sz w:val="24"/>
              <w:szCs w:val="24"/>
            </w:rPr>
            <w:fldChar w:fldCharType="begin"/>
          </w:r>
          <w:r>
            <w:rPr>
              <w:rFonts w:hint="eastAsia" w:ascii="黑体" w:hAnsi="黑体" w:eastAsia="黑体" w:cs="黑体"/>
              <w:sz w:val="24"/>
              <w:szCs w:val="24"/>
            </w:rPr>
            <w:instrText xml:space="preserve"> HYPERLINK \l _Toc275413172 </w:instrText>
          </w:r>
          <w:r>
            <w:rPr>
              <w:rFonts w:hint="eastAsia" w:ascii="黑体" w:hAnsi="黑体" w:eastAsia="黑体" w:cs="黑体"/>
              <w:sz w:val="24"/>
              <w:szCs w:val="24"/>
            </w:rPr>
            <w:fldChar w:fldCharType="separate"/>
          </w:r>
          <w:r>
            <w:rPr>
              <w:rFonts w:hint="eastAsia" w:ascii="黑体" w:hAnsi="黑体" w:eastAsia="黑体" w:cs="黑体"/>
              <w:sz w:val="24"/>
              <w:szCs w:val="24"/>
            </w:rPr>
            <w:t>一、发展基础</w:t>
          </w:r>
          <w:r>
            <w:rPr>
              <w:rFonts w:hint="eastAsia" w:ascii="黑体" w:hAnsi="黑体" w:eastAsia="黑体" w:cs="黑体"/>
              <w:sz w:val="24"/>
              <w:szCs w:val="24"/>
              <w:lang w:val="en-US" w:eastAsia="zh-CN"/>
            </w:rPr>
            <w:t>和存在不足</w:t>
          </w:r>
          <w:r>
            <w:rPr>
              <w:rFonts w:hint="eastAsia" w:ascii="方正楷体_GB2312" w:hAnsi="方正楷体_GB2312" w:eastAsia="方正楷体_GB2312" w:cs="方正楷体_GB2312"/>
              <w:kern w:val="0"/>
              <w:sz w:val="24"/>
              <w:szCs w:val="24"/>
              <w:lang w:val="en-US" w:eastAsia="zh-CN" w:bidi="ar-SA"/>
            </w:rPr>
            <w:tab/>
          </w:r>
          <w:r>
            <w:rPr>
              <w:rFonts w:hint="eastAsia" w:ascii="方正楷体_GB2312" w:hAnsi="方正楷体_GB2312" w:eastAsia="方正楷体_GB2312" w:cs="方正楷体_GB2312"/>
              <w:kern w:val="0"/>
              <w:sz w:val="24"/>
              <w:szCs w:val="24"/>
              <w:lang w:val="en-US" w:eastAsia="zh-CN" w:bidi="ar-SA"/>
            </w:rPr>
            <w:fldChar w:fldCharType="begin"/>
          </w:r>
          <w:r>
            <w:rPr>
              <w:rFonts w:hint="eastAsia" w:ascii="方正楷体_GB2312" w:hAnsi="方正楷体_GB2312" w:eastAsia="方正楷体_GB2312" w:cs="方正楷体_GB2312"/>
              <w:kern w:val="0"/>
              <w:sz w:val="24"/>
              <w:szCs w:val="24"/>
              <w:lang w:val="en-US" w:eastAsia="zh-CN" w:bidi="ar-SA"/>
            </w:rPr>
            <w:instrText xml:space="preserve"> PAGEREF _Toc275413172 </w:instrText>
          </w:r>
          <w:r>
            <w:rPr>
              <w:rFonts w:hint="eastAsia" w:ascii="方正楷体_GB2312" w:hAnsi="方正楷体_GB2312" w:eastAsia="方正楷体_GB2312" w:cs="方正楷体_GB2312"/>
              <w:kern w:val="0"/>
              <w:sz w:val="24"/>
              <w:szCs w:val="24"/>
              <w:lang w:val="en-US" w:eastAsia="zh-CN" w:bidi="ar-SA"/>
            </w:rPr>
            <w:fldChar w:fldCharType="separate"/>
          </w:r>
          <w:r>
            <w:rPr>
              <w:rFonts w:hint="eastAsia" w:ascii="方正楷体_GB2312" w:hAnsi="方正楷体_GB2312" w:eastAsia="方正楷体_GB2312" w:cs="方正楷体_GB2312"/>
              <w:kern w:val="0"/>
              <w:sz w:val="24"/>
              <w:szCs w:val="24"/>
              <w:lang w:val="en-US" w:eastAsia="zh-CN" w:bidi="ar-SA"/>
            </w:rPr>
            <w:t>1</w:t>
          </w:r>
          <w:r>
            <w:rPr>
              <w:rFonts w:hint="eastAsia" w:ascii="方正楷体_GB2312" w:hAnsi="方正楷体_GB2312" w:eastAsia="方正楷体_GB2312" w:cs="方正楷体_GB2312"/>
              <w:kern w:val="0"/>
              <w:sz w:val="24"/>
              <w:szCs w:val="24"/>
              <w:lang w:val="en-US" w:eastAsia="zh-CN" w:bidi="ar-SA"/>
            </w:rPr>
            <w:fldChar w:fldCharType="end"/>
          </w:r>
          <w:r>
            <w:rPr>
              <w:rFonts w:hint="eastAsia" w:ascii="黑体" w:hAnsi="黑体" w:eastAsia="黑体" w:cs="黑体"/>
              <w:color w:val="auto"/>
              <w:sz w:val="24"/>
              <w:szCs w:val="24"/>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_Toc1671214703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（一）发展基础</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_Toc1671214703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1</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_Toc729319849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rPr>
            <w:t>（二）存在</w:t>
          </w:r>
          <w:r>
            <w:rPr>
              <w:rFonts w:hint="eastAsia" w:ascii="方正楷体_GB2312" w:hAnsi="方正楷体_GB2312" w:eastAsia="方正楷体_GB2312" w:cs="方正楷体_GB2312"/>
              <w:sz w:val="24"/>
              <w:szCs w:val="24"/>
              <w:lang w:eastAsia="zh-CN"/>
            </w:rPr>
            <w:t>不足</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_Toc729319849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4</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0"/>
            <w:tabs>
              <w:tab w:val="right" w:leader="dot" w:pos="8504"/>
              <w:tab w:val="clear" w:pos="8296"/>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_Toc131702899 </w:instrText>
          </w:r>
          <w:r>
            <w:rPr>
              <w:rFonts w:hint="eastAsia" w:ascii="方正楷体_GB2312" w:hAnsi="方正楷体_GB2312" w:eastAsia="方正楷体_GB2312" w:cs="方正楷体_GB2312"/>
              <w:bCs/>
              <w:sz w:val="24"/>
              <w:szCs w:val="24"/>
              <w:lang w:val="zh-CN"/>
            </w:rPr>
            <w:fldChar w:fldCharType="separate"/>
          </w:r>
          <w:r>
            <w:rPr>
              <w:rFonts w:hint="eastAsia" w:ascii="黑体" w:hAnsi="黑体" w:eastAsia="黑体" w:cs="黑体"/>
              <w:sz w:val="24"/>
              <w:szCs w:val="24"/>
            </w:rPr>
            <w:t>二、</w:t>
          </w:r>
          <w:r>
            <w:rPr>
              <w:rFonts w:hint="eastAsia" w:ascii="黑体" w:hAnsi="黑体" w:eastAsia="黑体" w:cs="黑体"/>
              <w:sz w:val="24"/>
              <w:szCs w:val="24"/>
              <w:lang w:val="en-US" w:eastAsia="zh-CN"/>
            </w:rPr>
            <w:t>总体思路</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_Toc131702899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5</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_Toc35904891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rPr>
            <w:t>（一）指导思想</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_Toc35904891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5</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_Toc2047430807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rPr>
            <w:t>（二）基本原则</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_Toc2047430807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6</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_Toc998308484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rPr>
            <w:t>（三）发展目标</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_Toc998308484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6</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0"/>
            <w:tabs>
              <w:tab w:val="right" w:leader="dot" w:pos="8504"/>
              <w:tab w:val="clear" w:pos="8296"/>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_Toc581148126 </w:instrText>
          </w:r>
          <w:r>
            <w:rPr>
              <w:rFonts w:hint="eastAsia" w:ascii="方正楷体_GB2312" w:hAnsi="方正楷体_GB2312" w:eastAsia="方正楷体_GB2312" w:cs="方正楷体_GB2312"/>
              <w:bCs/>
              <w:sz w:val="24"/>
              <w:szCs w:val="24"/>
              <w:lang w:val="zh-CN"/>
            </w:rPr>
            <w:fldChar w:fldCharType="separate"/>
          </w:r>
          <w:r>
            <w:rPr>
              <w:rFonts w:hint="eastAsia" w:ascii="黑体" w:hAnsi="黑体" w:eastAsia="黑体" w:cs="黑体"/>
              <w:sz w:val="24"/>
              <w:szCs w:val="24"/>
            </w:rPr>
            <w:t>三、</w:t>
          </w:r>
          <w:r>
            <w:rPr>
              <w:rFonts w:hint="eastAsia" w:ascii="黑体" w:hAnsi="黑体" w:eastAsia="黑体" w:cs="黑体"/>
              <w:sz w:val="24"/>
              <w:szCs w:val="24"/>
              <w:lang w:val="en-US" w:eastAsia="zh-CN"/>
            </w:rPr>
            <w:t>主要任务</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_Toc581148126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8</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_Toc1503501634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一</w:t>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rPr>
            <w:t>推动金融科技机构高水平集聚</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_Toc1503501634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8</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_Toc1121591465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二</w:t>
          </w:r>
          <w:r>
            <w:rPr>
              <w:rFonts w:hint="eastAsia" w:ascii="方正楷体_GB2312" w:hAnsi="方正楷体_GB2312" w:eastAsia="方正楷体_GB2312" w:cs="方正楷体_GB2312"/>
              <w:sz w:val="24"/>
              <w:szCs w:val="24"/>
              <w:lang w:eastAsia="zh-CN"/>
            </w:rPr>
            <w:t>）促进金融科技特色应用集中涌现</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_Toc1121591465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12</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_Toc1142378843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三</w:t>
          </w:r>
          <w:r>
            <w:rPr>
              <w:rFonts w:hint="eastAsia" w:ascii="方正楷体_GB2312" w:hAnsi="方正楷体_GB2312" w:eastAsia="方正楷体_GB2312" w:cs="方正楷体_GB2312"/>
              <w:sz w:val="24"/>
              <w:szCs w:val="24"/>
              <w:lang w:eastAsia="zh-CN"/>
            </w:rPr>
            <w:t>）完善金融科技基础设施载体</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_Toc1142378843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15</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_Toc1140215956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四</w:t>
          </w:r>
          <w:r>
            <w:rPr>
              <w:rFonts w:hint="eastAsia" w:ascii="方正楷体_GB2312" w:hAnsi="方正楷体_GB2312" w:eastAsia="方正楷体_GB2312" w:cs="方正楷体_GB2312"/>
              <w:sz w:val="24"/>
              <w:szCs w:val="24"/>
              <w:lang w:eastAsia="zh-CN"/>
            </w:rPr>
            <w:t>）支持金融科技技术研发</w:t>
          </w:r>
          <w:r>
            <w:rPr>
              <w:rFonts w:hint="eastAsia" w:ascii="方正楷体_GB2312" w:hAnsi="方正楷体_GB2312" w:eastAsia="方正楷体_GB2312" w:cs="方正楷体_GB2312"/>
              <w:sz w:val="24"/>
              <w:szCs w:val="24"/>
              <w:lang w:val="en-US" w:eastAsia="zh-CN"/>
            </w:rPr>
            <w:t>应用</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_Toc1140215956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17</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_Toc1194687781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五</w:t>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加强</w:t>
          </w:r>
          <w:r>
            <w:rPr>
              <w:rFonts w:hint="eastAsia" w:ascii="方正楷体_GB2312" w:hAnsi="方正楷体_GB2312" w:eastAsia="方正楷体_GB2312" w:cs="方正楷体_GB2312"/>
              <w:sz w:val="24"/>
              <w:szCs w:val="24"/>
              <w:lang w:eastAsia="zh-CN"/>
            </w:rPr>
            <w:t>金融科技专业人才</w:t>
          </w:r>
          <w:r>
            <w:rPr>
              <w:rFonts w:hint="eastAsia" w:ascii="方正楷体_GB2312" w:hAnsi="方正楷体_GB2312" w:eastAsia="方正楷体_GB2312" w:cs="方正楷体_GB2312"/>
              <w:sz w:val="24"/>
              <w:szCs w:val="24"/>
              <w:lang w:val="en-US" w:eastAsia="zh-CN"/>
            </w:rPr>
            <w:t>培养</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_Toc1194687781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18</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_Toc1598461119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六）健全</w:t>
          </w:r>
          <w:r>
            <w:rPr>
              <w:rFonts w:hint="eastAsia" w:ascii="方正楷体_GB2312" w:hAnsi="方正楷体_GB2312" w:eastAsia="方正楷体_GB2312" w:cs="方正楷体_GB2312"/>
              <w:sz w:val="24"/>
              <w:szCs w:val="24"/>
              <w:lang w:eastAsia="zh-CN"/>
            </w:rPr>
            <w:t>金融科技投融资体系</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_Toc1598461119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21</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_Toc1570488162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七</w:t>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加强金融科技风险防控</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_Toc1570488162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22</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_Toc732028252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八</w:t>
          </w:r>
          <w:r>
            <w:rPr>
              <w:rFonts w:hint="eastAsia" w:ascii="方正楷体_GB2312" w:hAnsi="方正楷体_GB2312" w:eastAsia="方正楷体_GB2312" w:cs="方正楷体_GB2312"/>
              <w:sz w:val="24"/>
              <w:szCs w:val="24"/>
              <w:lang w:eastAsia="zh-CN"/>
            </w:rPr>
            <w:t>）扩大金融科技开放合作</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_Toc732028252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25</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0"/>
            <w:tabs>
              <w:tab w:val="right" w:leader="dot" w:pos="8504"/>
              <w:tab w:val="clear" w:pos="8296"/>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_Toc1796965817 </w:instrText>
          </w:r>
          <w:r>
            <w:rPr>
              <w:rFonts w:hint="eastAsia" w:ascii="方正楷体_GB2312" w:hAnsi="方正楷体_GB2312" w:eastAsia="方正楷体_GB2312" w:cs="方正楷体_GB2312"/>
              <w:bCs/>
              <w:sz w:val="24"/>
              <w:szCs w:val="24"/>
              <w:lang w:val="zh-CN"/>
            </w:rPr>
            <w:fldChar w:fldCharType="separate"/>
          </w:r>
          <w:r>
            <w:rPr>
              <w:rFonts w:hint="eastAsia" w:ascii="黑体" w:hAnsi="黑体" w:eastAsia="黑体" w:cs="黑体"/>
              <w:sz w:val="24"/>
              <w:szCs w:val="24"/>
              <w:lang w:val="en-US" w:eastAsia="zh-CN"/>
            </w:rPr>
            <w:t>四、</w:t>
          </w:r>
          <w:r>
            <w:rPr>
              <w:rFonts w:hint="eastAsia" w:ascii="黑体" w:hAnsi="黑体" w:eastAsia="黑体" w:cs="黑体"/>
              <w:sz w:val="24"/>
              <w:szCs w:val="24"/>
            </w:rPr>
            <w:t>保障措施</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_Toc1796965817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27</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_Toc563530037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rPr>
            <w:t>（一）</w:t>
          </w:r>
          <w:r>
            <w:rPr>
              <w:rFonts w:hint="eastAsia" w:ascii="方正楷体_GB2312" w:hAnsi="方正楷体_GB2312" w:eastAsia="方正楷体_GB2312" w:cs="方正楷体_GB2312"/>
              <w:sz w:val="24"/>
              <w:szCs w:val="24"/>
              <w:lang w:val="en-US" w:eastAsia="zh-CN"/>
            </w:rPr>
            <w:t>加强</w:t>
          </w:r>
          <w:r>
            <w:rPr>
              <w:rFonts w:hint="eastAsia" w:ascii="方正楷体_GB2312" w:hAnsi="方正楷体_GB2312" w:eastAsia="方正楷体_GB2312" w:cs="方正楷体_GB2312"/>
              <w:sz w:val="24"/>
              <w:szCs w:val="24"/>
            </w:rPr>
            <w:t>组织</w:t>
          </w:r>
          <w:r>
            <w:rPr>
              <w:rFonts w:hint="eastAsia" w:ascii="方正楷体_GB2312" w:hAnsi="方正楷体_GB2312" w:eastAsia="方正楷体_GB2312" w:cs="方正楷体_GB2312"/>
              <w:sz w:val="24"/>
              <w:szCs w:val="24"/>
              <w:lang w:val="en-US" w:eastAsia="zh-CN"/>
            </w:rPr>
            <w:t>统筹</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_Toc563530037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27</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_Toc486908170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rPr>
            <w:t>（二）</w:t>
          </w:r>
          <w:r>
            <w:rPr>
              <w:rFonts w:hint="eastAsia" w:ascii="方正楷体_GB2312" w:hAnsi="方正楷体_GB2312" w:eastAsia="方正楷体_GB2312" w:cs="方正楷体_GB2312"/>
              <w:sz w:val="24"/>
              <w:szCs w:val="24"/>
              <w:lang w:val="en-US" w:eastAsia="zh-CN"/>
            </w:rPr>
            <w:t>完善配套体系</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_Toc486908170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28</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_Toc621433948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rPr>
            <w:t>（三）</w:t>
          </w:r>
          <w:r>
            <w:rPr>
              <w:rFonts w:hint="eastAsia" w:ascii="方正楷体_GB2312" w:hAnsi="方正楷体_GB2312" w:eastAsia="方正楷体_GB2312" w:cs="方正楷体_GB2312"/>
              <w:sz w:val="24"/>
              <w:szCs w:val="24"/>
              <w:lang w:val="en-US" w:eastAsia="zh-CN"/>
            </w:rPr>
            <w:t>营造良好环境</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_Toc621433948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29</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keepNext w:val="0"/>
            <w:keepLines w:val="0"/>
            <w:pageBreakBefore w:val="0"/>
            <w:kinsoku/>
            <w:wordWrap/>
            <w:overflowPunct/>
            <w:topLinePunct w:val="0"/>
            <w:autoSpaceDE/>
            <w:autoSpaceDN/>
            <w:bidi w:val="0"/>
            <w:adjustRightInd/>
            <w:snapToGrid w:val="0"/>
            <w:spacing w:line="300" w:lineRule="auto"/>
            <w:textAlignment w:val="auto"/>
            <w:rPr>
              <w:rFonts w:hint="default" w:ascii="Times New Roman" w:hAnsi="Times New Roman" w:cs="Times New Roman"/>
              <w:color w:val="auto"/>
            </w:rPr>
          </w:pPr>
          <w:r>
            <w:rPr>
              <w:rFonts w:hint="eastAsia" w:ascii="方正楷体_GB2312" w:hAnsi="方正楷体_GB2312" w:eastAsia="方正楷体_GB2312" w:cs="方正楷体_GB2312"/>
              <w:bCs/>
              <w:color w:val="auto"/>
              <w:sz w:val="24"/>
              <w:szCs w:val="24"/>
              <w:lang w:val="zh-CN"/>
            </w:rPr>
            <w:fldChar w:fldCharType="end"/>
          </w:r>
        </w:p>
      </w:sdtContent>
    </w:sdt>
    <w:p>
      <w:pPr>
        <w:spacing w:line="560" w:lineRule="exact"/>
        <w:rPr>
          <w:rFonts w:hint="default" w:ascii="Times New Roman" w:hAnsi="Times New Roman" w:cs="Times New Roman"/>
          <w:color w:val="auto"/>
          <w:szCs w:val="32"/>
        </w:rPr>
      </w:pPr>
    </w:p>
    <w:p>
      <w:pPr>
        <w:spacing w:line="560" w:lineRule="exact"/>
        <w:rPr>
          <w:rFonts w:hint="default" w:ascii="Times New Roman" w:hAnsi="Times New Roman" w:cs="Times New Roman"/>
          <w:color w:val="auto"/>
          <w:szCs w:val="32"/>
        </w:rPr>
      </w:pPr>
    </w:p>
    <w:p>
      <w:pPr>
        <w:spacing w:line="560" w:lineRule="exact"/>
        <w:rPr>
          <w:rFonts w:hint="default" w:ascii="Times New Roman" w:hAnsi="Times New Roman" w:cs="Times New Roman"/>
          <w:color w:val="auto"/>
          <w:szCs w:val="32"/>
        </w:rPr>
      </w:pPr>
    </w:p>
    <w:p>
      <w:pPr>
        <w:spacing w:line="560" w:lineRule="exact"/>
        <w:rPr>
          <w:rFonts w:hint="default" w:ascii="Times New Roman" w:hAnsi="Times New Roman" w:cs="Times New Roman"/>
          <w:color w:val="auto"/>
          <w:szCs w:val="32"/>
        </w:rPr>
        <w:sectPr>
          <w:footerReference r:id="rId7" w:type="default"/>
          <w:footerReference r:id="rId8" w:type="even"/>
          <w:pgSz w:w="11906" w:h="16838"/>
          <w:pgMar w:top="1984" w:right="1474" w:bottom="1417" w:left="1587" w:header="1361" w:footer="850" w:gutter="0"/>
          <w:pgNumType w:fmt="decimal" w:start="1"/>
          <w:cols w:space="0" w:num="1"/>
          <w:rtlGutter w:val="0"/>
          <w:docGrid w:type="lines" w:linePitch="435" w:charSpace="0"/>
        </w:sectPr>
      </w:pP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eastAsia="黑体" w:cs="Times New Roman"/>
          <w:color w:val="auto"/>
          <w:lang w:val="en-US" w:eastAsia="zh-CN"/>
        </w:rPr>
      </w:pPr>
      <w:bookmarkStart w:id="0" w:name="_Toc16864"/>
      <w:bookmarkStart w:id="1" w:name="_Toc298"/>
      <w:bookmarkStart w:id="2" w:name="_Toc275413172"/>
      <w:r>
        <w:rPr>
          <w:rFonts w:hint="default" w:ascii="Times New Roman" w:hAnsi="Times New Roman" w:cs="Times New Roman"/>
          <w:color w:val="auto"/>
        </w:rPr>
        <w:t>一、发展基础</w:t>
      </w:r>
      <w:r>
        <w:rPr>
          <w:rFonts w:hint="eastAsia" w:ascii="Times New Roman" w:hAnsi="Times New Roman" w:cs="Times New Roman"/>
          <w:color w:val="auto"/>
          <w:lang w:val="en-US" w:eastAsia="zh-CN"/>
        </w:rPr>
        <w:t>和存在</w:t>
      </w:r>
      <w:bookmarkEnd w:id="0"/>
      <w:bookmarkEnd w:id="1"/>
      <w:r>
        <w:rPr>
          <w:rFonts w:hint="eastAsia" w:ascii="Times New Roman" w:hAnsi="Times New Roman" w:cs="Times New Roman"/>
          <w:color w:val="auto"/>
          <w:lang w:val="en-US" w:eastAsia="zh-CN"/>
        </w:rPr>
        <w:t>不足</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深圳金融科技生态完整，在诸多领域已处于全国前列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亚太一流，具备了建设全球金融科技中心的基础条件。在英国智库Z/Yen集团</w:t>
      </w:r>
      <w:r>
        <w:rPr>
          <w:rFonts w:hint="eastAsia" w:ascii="仿宋_GB2312" w:hAnsi="仿宋_GB2312" w:eastAsia="仿宋_GB2312" w:cs="仿宋_GB2312"/>
          <w:szCs w:val="32"/>
          <w:lang w:eastAsia="zh-CN"/>
        </w:rPr>
        <w:t>、综合开发研究院</w:t>
      </w:r>
      <w:r>
        <w:rPr>
          <w:rFonts w:hint="eastAsia" w:ascii="仿宋_GB2312" w:hAnsi="仿宋_GB2312" w:eastAsia="仿宋_GB2312" w:cs="仿宋_GB2312"/>
          <w:szCs w:val="32"/>
        </w:rPr>
        <w:t>发布的全球金融中心指数（GFCI）中，深圳金融科技专项排名最高位列全球第四。</w:t>
      </w:r>
    </w:p>
    <w:p>
      <w:pPr>
        <w:pStyle w:val="4"/>
        <w:keepNext w:val="0"/>
        <w:keepLines w:val="0"/>
        <w:pageBreakBefore w:val="0"/>
        <w:widowControl w:val="0"/>
        <w:kinsoku/>
        <w:wordWrap/>
        <w:overflowPunct/>
        <w:topLinePunct w:val="0"/>
        <w:bidi w:val="0"/>
        <w:adjustRightInd/>
        <w:snapToGrid/>
        <w:spacing w:line="560" w:lineRule="exact"/>
        <w:ind w:firstLine="641"/>
        <w:textAlignment w:val="auto"/>
        <w:rPr>
          <w:rFonts w:hint="default" w:ascii="Times New Roman" w:hAnsi="Times New Roman" w:eastAsia="楷体_GB2312" w:cs="Times New Roman"/>
          <w:lang w:eastAsia="zh-CN"/>
        </w:rPr>
      </w:pPr>
      <w:bookmarkStart w:id="3" w:name="_Toc12429"/>
      <w:bookmarkStart w:id="4" w:name="_Toc1671214703"/>
      <w:r>
        <w:rPr>
          <w:rFonts w:hint="default" w:ascii="Times New Roman" w:hAnsi="Times New Roman" w:eastAsia="楷体_GB2312" w:cs="Times New Roman"/>
          <w:lang w:eastAsia="zh-CN"/>
        </w:rPr>
        <w:t>（一）发展基础</w:t>
      </w:r>
      <w:bookmarkEnd w:id="3"/>
      <w:bookmarkEnd w:id="4"/>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cs="Times New Roman"/>
          <w:szCs w:val="32"/>
          <w:lang w:val="en-US" w:eastAsia="zh-CN"/>
        </w:rPr>
      </w:pPr>
      <w:r>
        <w:rPr>
          <w:rFonts w:hint="eastAsia" w:ascii="仿宋_GB2312" w:hAnsi="仿宋_GB2312" w:eastAsia="仿宋_GB2312" w:cs="仿宋_GB2312"/>
          <w:b/>
          <w:bCs/>
          <w:szCs w:val="32"/>
          <w:lang w:eastAsia="zh-CN"/>
        </w:rPr>
        <w:t>1</w:t>
      </w:r>
      <w:r>
        <w:rPr>
          <w:rFonts w:hint="eastAsia" w:ascii="仿宋_GB2312" w:hAnsi="仿宋_GB2312" w:eastAsia="仿宋_GB2312" w:cs="仿宋_GB2312"/>
          <w:b/>
          <w:bCs/>
          <w:szCs w:val="32"/>
          <w:lang w:val="en-US" w:eastAsia="zh-Hans"/>
        </w:rPr>
        <w:t>.</w:t>
      </w:r>
      <w:r>
        <w:rPr>
          <w:rFonts w:hint="eastAsia" w:cs="仿宋_GB2312"/>
          <w:b/>
          <w:bCs/>
          <w:szCs w:val="32"/>
          <w:lang w:val="en-US" w:eastAsia="zh-CN"/>
        </w:rPr>
        <w:t>政策环境不断优化。</w:t>
      </w:r>
      <w:r>
        <w:rPr>
          <w:rFonts w:hint="eastAsia" w:ascii="仿宋_GB2312" w:hAnsi="仿宋_GB2312" w:eastAsia="仿宋_GB2312" w:cs="仿宋_GB2312"/>
          <w:szCs w:val="32"/>
          <w:lang w:val="en-US" w:eastAsia="zh-CN"/>
        </w:rPr>
        <w:t>2017年3月，深圳市福田区率先出台《关于促进福田区金融科技快速健康创新发展的若干意见》，成为我国地方政府首个发布的金融科技专项政策，</w:t>
      </w:r>
      <w:r>
        <w:rPr>
          <w:rFonts w:hint="eastAsia" w:cs="仿宋_GB2312"/>
          <w:szCs w:val="32"/>
          <w:lang w:val="en-US" w:eastAsia="zh-CN"/>
        </w:rPr>
        <w:t>并通过</w:t>
      </w:r>
      <w:r>
        <w:rPr>
          <w:rFonts w:hint="eastAsia" w:ascii="仿宋_GB2312" w:hAnsi="仿宋_GB2312" w:eastAsia="仿宋_GB2312" w:cs="仿宋_GB2312"/>
          <w:szCs w:val="32"/>
          <w:lang w:val="en-US" w:eastAsia="zh-CN"/>
        </w:rPr>
        <w:t>设立“香蜜湖金融科技创新奖”</w:t>
      </w:r>
      <w:r>
        <w:rPr>
          <w:rFonts w:hint="eastAsia" w:cs="仿宋_GB2312"/>
          <w:szCs w:val="32"/>
          <w:lang w:val="en-US" w:eastAsia="zh-CN"/>
        </w:rPr>
        <w:t>等系列措施加大激励引导</w:t>
      </w:r>
      <w:r>
        <w:rPr>
          <w:rFonts w:hint="eastAsia" w:ascii="仿宋_GB2312" w:hAnsi="仿宋_GB2312" w:eastAsia="仿宋_GB2312" w:cs="仿宋_GB2312"/>
          <w:szCs w:val="32"/>
          <w:lang w:val="en-US" w:eastAsia="zh-CN"/>
        </w:rPr>
        <w:t>。</w:t>
      </w:r>
      <w:r>
        <w:rPr>
          <w:rFonts w:hint="eastAsia" w:cs="仿宋_GB2312"/>
          <w:szCs w:val="32"/>
          <w:lang w:val="en-US" w:eastAsia="zh-CN"/>
        </w:rPr>
        <w:t>南山、罗湖、前海等也相继出台相应措施，或在金融发展专项资金中“切块”支持，有力促进本地金融科技发展。</w:t>
      </w:r>
      <w:r>
        <w:rPr>
          <w:rFonts w:hint="eastAsia" w:ascii="仿宋_GB2312" w:hAnsi="仿宋_GB2312" w:eastAsia="仿宋_GB2312" w:cs="仿宋_GB2312"/>
          <w:szCs w:val="32"/>
          <w:lang w:val="en-US" w:eastAsia="zh-CN"/>
        </w:rPr>
        <w:t>2022年4月，《深圳市扶持金融科技发展若干措施》发布实施，支持范围涵盖重点机构平台落地、基础设施完善、投融资对接、举办论坛赛事、人才培育培养等多个方面，市区联动的政策体系不断健全。</w:t>
      </w:r>
    </w:p>
    <w:p>
      <w:pPr>
        <w:keepNext w:val="0"/>
        <w:keepLines w:val="0"/>
        <w:pageBreakBefore w:val="0"/>
        <w:widowControl w:val="0"/>
        <w:kinsoku/>
        <w:wordWrap/>
        <w:overflowPunct/>
        <w:topLinePunct w:val="0"/>
        <w:autoSpaceDE w:val="0"/>
        <w:autoSpaceDN w:val="0"/>
        <w:bidi w:val="0"/>
        <w:adjustRightInd/>
        <w:snapToGrid/>
        <w:spacing w:line="560" w:lineRule="exact"/>
        <w:ind w:firstLine="643"/>
        <w:textAlignment w:val="auto"/>
        <w:rPr>
          <w:rFonts w:hint="eastAsia" w:ascii="Times New Roman" w:hAnsi="Times New Roman" w:cs="Times New Roman"/>
          <w:szCs w:val="32"/>
          <w:lang w:val="en-US" w:eastAsia="zh-CN"/>
        </w:rPr>
      </w:pPr>
      <w:r>
        <w:rPr>
          <w:rFonts w:hint="default" w:ascii="仿宋_GB2312" w:hAnsi="仿宋_GB2312" w:eastAsia="仿宋_GB2312" w:cs="仿宋_GB2312"/>
          <w:b/>
          <w:bCs/>
          <w:szCs w:val="32"/>
          <w:lang w:eastAsia="zh-CN"/>
        </w:rPr>
        <w:t>2</w:t>
      </w:r>
      <w:r>
        <w:rPr>
          <w:rFonts w:hint="eastAsia" w:ascii="仿宋_GB2312" w:hAnsi="仿宋_GB2312" w:eastAsia="仿宋_GB2312" w:cs="仿宋_GB2312"/>
          <w:b/>
          <w:bCs/>
          <w:szCs w:val="32"/>
          <w:lang w:val="en-US" w:eastAsia="zh-Hans"/>
        </w:rPr>
        <w:t>.</w:t>
      </w:r>
      <w:r>
        <w:rPr>
          <w:rFonts w:hint="default" w:ascii="仿宋_GB2312" w:hAnsi="仿宋_GB2312" w:eastAsia="仿宋_GB2312" w:cs="仿宋_GB2312"/>
          <w:b/>
          <w:bCs/>
          <w:szCs w:val="32"/>
          <w:lang w:val="en-US" w:eastAsia="zh-CN"/>
        </w:rPr>
        <w:t>企业雁阵格局</w:t>
      </w:r>
      <w:r>
        <w:rPr>
          <w:rFonts w:hint="eastAsia" w:cs="仿宋_GB2312"/>
          <w:b/>
          <w:bCs/>
          <w:szCs w:val="32"/>
          <w:lang w:val="en-US" w:eastAsia="zh-CN"/>
        </w:rPr>
        <w:t>逐步形成。</w:t>
      </w:r>
      <w:r>
        <w:rPr>
          <w:rFonts w:hint="default" w:ascii="Times New Roman" w:hAnsi="Times New Roman" w:cs="Times New Roman"/>
          <w:szCs w:val="32"/>
          <w:lang w:val="en-US" w:eastAsia="zh-CN"/>
        </w:rPr>
        <w:t>深圳金融科技起步早</w:t>
      </w:r>
      <w:r>
        <w:rPr>
          <w:rFonts w:hint="eastAsia" w:ascii="Times New Roman" w:hAnsi="Times New Roman" w:cs="Times New Roman"/>
          <w:szCs w:val="32"/>
          <w:lang w:val="en-US" w:eastAsia="zh-CN"/>
        </w:rPr>
        <w:t>、发展迅速，</w:t>
      </w:r>
      <w:r>
        <w:rPr>
          <w:rFonts w:hint="default" w:ascii="Times New Roman" w:hAnsi="Times New Roman" w:cs="Times New Roman"/>
          <w:szCs w:val="32"/>
          <w:lang w:val="en-US" w:eastAsia="zh-CN"/>
        </w:rPr>
        <w:t>平安集团、招商金科</w:t>
      </w:r>
      <w:r>
        <w:rPr>
          <w:rFonts w:hint="eastAsia" w:ascii="Times New Roman" w:hAnsi="Times New Roman" w:cs="Times New Roman"/>
          <w:szCs w:val="32"/>
          <w:lang w:val="en-US" w:eastAsia="zh-CN"/>
        </w:rPr>
        <w:t>等代表性企业先行领跑，开泰银行、中金公司、山西证券等持牌金融机构的科技子公司相继落户，长亮科技、金证科技等优秀金融科技服务商不断涌现，金融壹账通等23家企业入选毕马威2021中国金融科技“双50”榜单，多家香港虚拟银行、虚拟保险旗下金融科技子公司在前海集聚，微众银行、腾讯、华为技术等研发推出如</w:t>
      </w:r>
      <w:r>
        <w:rPr>
          <w:rFonts w:hint="eastAsia" w:ascii="仿宋_GB2312" w:hAnsi="仿宋_GB2312" w:eastAsia="仿宋_GB2312" w:cs="仿宋_GB2312"/>
          <w:szCs w:val="32"/>
          <w:lang w:val="en-US" w:eastAsia="zh-CN"/>
        </w:rPr>
        <w:t>FISCO-BCOS</w:t>
      </w:r>
      <w:r>
        <w:rPr>
          <w:rFonts w:hint="eastAsia" w:ascii="Times New Roman" w:hAnsi="Times New Roman" w:cs="Times New Roman"/>
          <w:szCs w:val="32"/>
          <w:lang w:val="en-US" w:eastAsia="zh-CN"/>
        </w:rPr>
        <w:t>等有影响力的开源项目……富有特色、模式多元的金融科技类企业</w:t>
      </w:r>
      <w:r>
        <w:rPr>
          <w:rFonts w:hint="default" w:ascii="Times New Roman" w:hAnsi="Times New Roman" w:cs="Times New Roman"/>
          <w:szCs w:val="32"/>
          <w:lang w:val="en-US" w:eastAsia="zh-CN"/>
        </w:rPr>
        <w:t>集群和</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雁阵</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格局初步形成</w:t>
      </w:r>
      <w:r>
        <w:rPr>
          <w:rFonts w:hint="eastAsia" w:ascii="Times New Roman" w:hAnsi="Times New Roman" w:cs="Times New Roman"/>
          <w:szCs w:val="32"/>
          <w:lang w:val="en-US" w:eastAsia="zh-CN"/>
        </w:rPr>
        <w:t>。同时，福田、南山等重点区正加快</w:t>
      </w:r>
      <w:r>
        <w:rPr>
          <w:rFonts w:hint="default" w:ascii="Times New Roman" w:hAnsi="Times New Roman" w:cs="Times New Roman"/>
          <w:szCs w:val="32"/>
          <w:lang w:val="en-US" w:eastAsia="zh-CN"/>
        </w:rPr>
        <w:t>打造湾区国际金融科技城、国际金融科技生态园、深港金融科技城</w:t>
      </w:r>
      <w:r>
        <w:rPr>
          <w:rFonts w:hint="eastAsia" w:ascii="Times New Roman" w:hAnsi="Times New Roman" w:cs="Times New Roman"/>
          <w:szCs w:val="32"/>
          <w:lang w:val="en-US" w:eastAsia="zh-CN"/>
        </w:rPr>
        <w:t>等集聚功能区，</w:t>
      </w:r>
      <w:r>
        <w:rPr>
          <w:rFonts w:hint="default" w:ascii="Times New Roman" w:hAnsi="Times New Roman" w:cs="Times New Roman"/>
          <w:szCs w:val="32"/>
          <w:lang w:val="en-US" w:eastAsia="zh-CN"/>
        </w:rPr>
        <w:t>组建</w:t>
      </w:r>
      <w:r>
        <w:rPr>
          <w:rFonts w:hint="eastAsia" w:ascii="Times New Roman" w:hAnsi="Times New Roman" w:cs="Times New Roman"/>
          <w:szCs w:val="32"/>
          <w:lang w:val="en-US" w:eastAsia="zh-CN"/>
        </w:rPr>
        <w:t>一批</w:t>
      </w:r>
      <w:r>
        <w:rPr>
          <w:rFonts w:hint="default" w:ascii="Times New Roman" w:hAnsi="Times New Roman" w:cs="Times New Roman"/>
          <w:szCs w:val="32"/>
          <w:lang w:val="en-US" w:eastAsia="zh-CN"/>
        </w:rPr>
        <w:t>金融科技孵化器</w:t>
      </w:r>
      <w:r>
        <w:rPr>
          <w:rFonts w:hint="eastAsia" w:ascii="Times New Roman" w:hAnsi="Times New Roman" w:cs="Times New Roman"/>
          <w:szCs w:val="32"/>
          <w:lang w:val="en-US" w:eastAsia="zh-CN"/>
        </w:rPr>
        <w:t>、加速器等平台</w:t>
      </w:r>
      <w:r>
        <w:rPr>
          <w:rFonts w:hint="default" w:ascii="Times New Roman" w:hAnsi="Times New Roman" w:cs="Times New Roman"/>
          <w:szCs w:val="32"/>
          <w:lang w:val="en-US" w:eastAsia="zh-CN"/>
        </w:rPr>
        <w:t>载体，</w:t>
      </w:r>
      <w:r>
        <w:rPr>
          <w:rFonts w:hint="eastAsia" w:ascii="Times New Roman" w:hAnsi="Times New Roman" w:cs="Times New Roman"/>
          <w:szCs w:val="32"/>
          <w:lang w:val="en-US" w:eastAsia="zh-CN"/>
        </w:rPr>
        <w:t>有力促进金融科技类企业培育和成果转化。</w:t>
      </w:r>
    </w:p>
    <w:p>
      <w:pPr>
        <w:pageBreakBefore w:val="0"/>
        <w:widowControl w:val="0"/>
        <w:kinsoku/>
        <w:wordWrap/>
        <w:overflowPunct/>
        <w:topLinePunct w:val="0"/>
        <w:autoSpaceDE w:val="0"/>
        <w:autoSpaceDN w:val="0"/>
        <w:bidi w:val="0"/>
        <w:adjustRightInd/>
        <w:snapToGrid/>
        <w:spacing w:line="560" w:lineRule="exact"/>
        <w:ind w:firstLine="643" w:firstLineChars="200"/>
        <w:rPr>
          <w:rFonts w:hint="eastAsia" w:ascii="Times New Roman" w:hAnsi="Times New Roman" w:cs="Times New Roman"/>
          <w:szCs w:val="32"/>
          <w:lang w:val="en-US" w:eastAsia="zh-CN"/>
        </w:rPr>
      </w:pPr>
      <w:r>
        <w:rPr>
          <w:rFonts w:hint="default" w:ascii="仿宋_GB2312" w:hAnsi="仿宋_GB2312" w:eastAsia="仿宋_GB2312" w:cs="仿宋_GB2312"/>
          <w:b/>
          <w:bCs/>
          <w:szCs w:val="32"/>
          <w:lang w:eastAsia="zh-CN"/>
        </w:rPr>
        <w:t>3</w:t>
      </w:r>
      <w:r>
        <w:rPr>
          <w:rFonts w:hint="eastAsia" w:ascii="仿宋_GB2312" w:hAnsi="仿宋_GB2312" w:eastAsia="仿宋_GB2312" w:cs="仿宋_GB2312"/>
          <w:b/>
          <w:bCs/>
          <w:szCs w:val="32"/>
          <w:lang w:val="en-US" w:eastAsia="zh-Hans"/>
        </w:rPr>
        <w:t>.</w:t>
      </w:r>
      <w:r>
        <w:rPr>
          <w:rFonts w:hint="eastAsia" w:cs="仿宋_GB2312"/>
          <w:b/>
          <w:bCs/>
          <w:szCs w:val="32"/>
          <w:lang w:val="en-US" w:eastAsia="zh-CN"/>
        </w:rPr>
        <w:t>行业实践案例不断涌现。</w:t>
      </w:r>
      <w:r>
        <w:rPr>
          <w:rFonts w:hint="eastAsia" w:ascii="Times New Roman" w:hAnsi="Times New Roman" w:cs="Times New Roman"/>
          <w:szCs w:val="32"/>
          <w:lang w:val="en-US" w:eastAsia="zh-CN"/>
        </w:rPr>
        <w:t>在数字技术与金融业务深度融合领域，深圳先后产生一批具备典型性、创新性、先进性的优秀创新实践案例。比如，人民银行深圳中心支行推动数字人民币红包在深圳市率先启动试点；微众银行推动鲲鹏芯片在银行系统架构中全面应用；中信银行信用卡中心投产“凌云”系统，是国内领先、采用自主金融级分布式数据库的银行核心业务系统；中国银联深圳分公司联合地铁集团推动深圳地铁领域金融IC卡应用；平安证券公司基于零知识认证打造新一代场外交易平台；南方基金公司打造投研一体化平台等。</w:t>
      </w:r>
    </w:p>
    <w:p>
      <w:pPr>
        <w:pageBreakBefore w:val="0"/>
        <w:widowControl w:val="0"/>
        <w:kinsoku/>
        <w:wordWrap/>
        <w:overflowPunct/>
        <w:topLinePunct w:val="0"/>
        <w:autoSpaceDE w:val="0"/>
        <w:autoSpaceDN w:val="0"/>
        <w:bidi w:val="0"/>
        <w:adjustRightInd/>
        <w:snapToGrid/>
        <w:spacing w:line="560" w:lineRule="exact"/>
        <w:ind w:firstLine="643"/>
        <w:rPr>
          <w:rFonts w:hint="default" w:ascii="仿宋_GB2312" w:hAnsi="仿宋_GB2312" w:eastAsia="仿宋_GB2312" w:cs="仿宋_GB2312"/>
          <w:szCs w:val="32"/>
          <w:lang w:val="en-US" w:eastAsia="zh-CN"/>
        </w:rPr>
      </w:pPr>
      <w:r>
        <w:rPr>
          <w:rFonts w:hint="default" w:ascii="仿宋_GB2312" w:hAnsi="仿宋_GB2312" w:eastAsia="仿宋_GB2312" w:cs="仿宋_GB2312"/>
          <w:b/>
          <w:bCs/>
          <w:szCs w:val="32"/>
          <w:lang w:eastAsia="zh-CN"/>
        </w:rPr>
        <w:t>4.</w:t>
      </w:r>
      <w:r>
        <w:rPr>
          <w:rFonts w:hint="default" w:ascii="仿宋_GB2312" w:hAnsi="仿宋_GB2312" w:eastAsia="仿宋_GB2312" w:cs="仿宋_GB2312"/>
          <w:b/>
          <w:bCs/>
          <w:szCs w:val="32"/>
          <w:lang w:val="en-US" w:eastAsia="zh-CN"/>
        </w:rPr>
        <w:t>创新</w:t>
      </w:r>
      <w:r>
        <w:rPr>
          <w:rFonts w:hint="eastAsia" w:cs="仿宋_GB2312"/>
          <w:b/>
          <w:bCs/>
          <w:szCs w:val="32"/>
          <w:lang w:val="en-US" w:eastAsia="zh-CN"/>
        </w:rPr>
        <w:t>监管试点深入推进。</w:t>
      </w:r>
      <w:r>
        <w:rPr>
          <w:rFonts w:hint="eastAsia" w:ascii="仿宋_GB2312" w:hAnsi="仿宋_GB2312" w:eastAsia="仿宋_GB2312" w:cs="仿宋_GB2312"/>
          <w:szCs w:val="32"/>
          <w:lang w:val="en-US" w:eastAsia="zh-CN"/>
        </w:rPr>
        <w:t>2019年10月，</w:t>
      </w:r>
      <w:r>
        <w:rPr>
          <w:rFonts w:hint="eastAsia" w:ascii="仿宋_GB2312" w:hAnsi="仿宋_GB2312" w:eastAsia="仿宋_GB2312" w:cs="仿宋_GB2312"/>
          <w:szCs w:val="32"/>
        </w:rPr>
        <w:t>人民银行等六部委正式批复在深圳市开展金融科技应用试点</w:t>
      </w:r>
      <w:r>
        <w:rPr>
          <w:rFonts w:hint="eastAsia" w:ascii="仿宋_GB2312" w:hAnsi="仿宋_GB2312" w:eastAsia="仿宋_GB2312" w:cs="仿宋_GB2312"/>
          <w:szCs w:val="32"/>
          <w:lang w:val="en-US" w:eastAsia="zh-CN"/>
        </w:rPr>
        <w:t>，共</w:t>
      </w:r>
      <w:r>
        <w:rPr>
          <w:rFonts w:hint="eastAsia" w:ascii="仿宋_GB2312" w:hAnsi="仿宋_GB2312" w:eastAsia="仿宋_GB2312" w:cs="仿宋_GB2312"/>
          <w:szCs w:val="32"/>
        </w:rPr>
        <w:t>29个项目</w:t>
      </w:r>
      <w:r>
        <w:rPr>
          <w:rFonts w:hint="eastAsia" w:ascii="仿宋_GB2312" w:hAnsi="仿宋_GB2312" w:eastAsia="仿宋_GB2312" w:cs="仿宋_GB2312"/>
          <w:szCs w:val="32"/>
          <w:lang w:val="en-US" w:eastAsia="zh-CN"/>
        </w:rPr>
        <w:t>申报入选并顺利结项。2020年4月，人民银行批复深圳开展金融科技创新监管试点，目前已推动三批9个创新应用测试运行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2021年1</w:t>
      </w:r>
      <w:r>
        <w:rPr>
          <w:rFonts w:hint="eastAsia" w:cs="仿宋_GB2312"/>
          <w:szCs w:val="32"/>
          <w:lang w:val="en-US" w:eastAsia="zh-CN"/>
        </w:rPr>
        <w:t>0</w:t>
      </w:r>
      <w:r>
        <w:rPr>
          <w:rFonts w:hint="eastAsia" w:ascii="仿宋_GB2312" w:hAnsi="仿宋_GB2312" w:eastAsia="仿宋_GB2312" w:cs="仿宋_GB2312"/>
          <w:szCs w:val="32"/>
          <w:lang w:val="en-US" w:eastAsia="zh-CN"/>
        </w:rPr>
        <w:t>月，深圳</w:t>
      </w:r>
      <w:r>
        <w:rPr>
          <w:rFonts w:hint="eastAsia" w:cs="仿宋_GB2312"/>
          <w:szCs w:val="32"/>
          <w:lang w:val="en-US" w:eastAsia="zh-CN"/>
        </w:rPr>
        <w:t>获批</w:t>
      </w:r>
      <w:r>
        <w:rPr>
          <w:rFonts w:hint="eastAsia" w:ascii="仿宋_GB2312" w:hAnsi="仿宋_GB2312" w:eastAsia="仿宋_GB2312" w:cs="仿宋_GB2312"/>
          <w:szCs w:val="32"/>
          <w:lang w:val="en-US" w:eastAsia="zh-CN"/>
        </w:rPr>
        <w:t>资本市场金融科技创新试点</w:t>
      </w:r>
      <w:r>
        <w:rPr>
          <w:rFonts w:hint="eastAsia" w:cs="仿宋_GB2312"/>
          <w:szCs w:val="32"/>
          <w:lang w:val="en-US" w:eastAsia="zh-CN"/>
        </w:rPr>
        <w:t>，</w:t>
      </w:r>
      <w:r>
        <w:rPr>
          <w:rFonts w:hint="eastAsia" w:ascii="仿宋_GB2312" w:hAnsi="仿宋_GB2312" w:eastAsia="仿宋_GB2312" w:cs="仿宋_GB2312"/>
          <w:szCs w:val="32"/>
          <w:lang w:val="en-US" w:eastAsia="zh-CN"/>
        </w:rPr>
        <w:t>深圳证监局联合</w:t>
      </w:r>
      <w:r>
        <w:rPr>
          <w:rFonts w:hint="eastAsia" w:cs="仿宋_GB2312"/>
          <w:szCs w:val="32"/>
          <w:lang w:val="en-US" w:eastAsia="zh-CN"/>
        </w:rPr>
        <w:t>市地方金融监管局等成立</w:t>
      </w:r>
      <w:r>
        <w:rPr>
          <w:rFonts w:hint="eastAsia" w:ascii="仿宋_GB2312" w:hAnsi="仿宋_GB2312" w:eastAsia="仿宋_GB2312" w:cs="仿宋_GB2312"/>
          <w:szCs w:val="32"/>
          <w:lang w:val="en-US" w:eastAsia="zh-CN"/>
        </w:rPr>
        <w:t>专项工作组，</w:t>
      </w:r>
      <w:r>
        <w:rPr>
          <w:rFonts w:hint="eastAsia" w:cs="仿宋_GB2312"/>
          <w:szCs w:val="32"/>
          <w:lang w:val="en-US" w:eastAsia="zh-CN"/>
        </w:rPr>
        <w:t>推动</w:t>
      </w:r>
      <w:r>
        <w:rPr>
          <w:rFonts w:hint="eastAsia" w:ascii="仿宋_GB2312" w:hAnsi="仿宋_GB2312" w:eastAsia="仿宋_GB2312" w:cs="仿宋_GB2312"/>
          <w:szCs w:val="32"/>
          <w:lang w:val="en-US" w:eastAsia="zh-CN"/>
        </w:rPr>
        <w:t>试点</w:t>
      </w:r>
      <w:r>
        <w:rPr>
          <w:rFonts w:hint="eastAsia" w:cs="仿宋_GB2312"/>
          <w:szCs w:val="32"/>
          <w:lang w:val="en-US" w:eastAsia="zh-CN"/>
        </w:rPr>
        <w:t>顺利实施</w:t>
      </w:r>
      <w:r>
        <w:rPr>
          <w:rFonts w:hint="eastAsia" w:ascii="仿宋_GB2312" w:hAnsi="仿宋_GB2312" w:eastAsia="仿宋_GB2312" w:cs="仿宋_GB2312"/>
          <w:szCs w:val="32"/>
          <w:lang w:val="en-US" w:eastAsia="zh-CN"/>
        </w:rPr>
        <w:t>。</w:t>
      </w:r>
      <w:r>
        <w:rPr>
          <w:rFonts w:hint="eastAsia" w:cs="仿宋_GB2312"/>
          <w:szCs w:val="32"/>
          <w:lang w:val="en-US" w:eastAsia="zh-CN"/>
        </w:rPr>
        <w:t>另外，</w:t>
      </w:r>
      <w:r>
        <w:rPr>
          <w:rFonts w:hint="eastAsia" w:ascii="仿宋_GB2312" w:hAnsi="仿宋_GB2312" w:eastAsia="仿宋_GB2312" w:cs="仿宋_GB2312"/>
          <w:szCs w:val="32"/>
          <w:lang w:val="en-US" w:eastAsia="zh-CN"/>
        </w:rPr>
        <w:t>深圳证监局指导</w:t>
      </w:r>
      <w:r>
        <w:rPr>
          <w:rFonts w:hint="eastAsia" w:cs="仿宋_GB2312"/>
          <w:szCs w:val="32"/>
          <w:lang w:val="en-US" w:eastAsia="zh-CN"/>
        </w:rPr>
        <w:t>率先</w:t>
      </w:r>
      <w:r>
        <w:rPr>
          <w:rFonts w:hint="eastAsia" w:ascii="仿宋_GB2312" w:hAnsi="仿宋_GB2312" w:eastAsia="仿宋_GB2312" w:cs="仿宋_GB2312"/>
          <w:szCs w:val="32"/>
          <w:lang w:val="en-US" w:eastAsia="zh-CN"/>
        </w:rPr>
        <w:t>成立</w:t>
      </w:r>
      <w:r>
        <w:rPr>
          <w:rFonts w:hint="eastAsia" w:cs="仿宋_GB2312"/>
          <w:szCs w:val="32"/>
          <w:lang w:val="en-US" w:eastAsia="zh-CN"/>
        </w:rPr>
        <w:t>“</w:t>
      </w:r>
      <w:r>
        <w:rPr>
          <w:rFonts w:hint="eastAsia" w:ascii="仿宋_GB2312" w:hAnsi="仿宋_GB2312" w:eastAsia="仿宋_GB2312" w:cs="仿宋_GB2312"/>
          <w:szCs w:val="32"/>
          <w:lang w:val="en-US" w:eastAsia="zh-CN"/>
        </w:rPr>
        <w:t>资本市场金融科技委员会</w:t>
      </w:r>
      <w:r>
        <w:rPr>
          <w:rFonts w:hint="eastAsia" w:cs="仿宋_GB2312"/>
          <w:szCs w:val="32"/>
          <w:lang w:val="en-US" w:eastAsia="zh-CN"/>
        </w:rPr>
        <w:t>”，聚焦</w:t>
      </w:r>
      <w:r>
        <w:rPr>
          <w:rFonts w:hint="eastAsia" w:ascii="仿宋_GB2312" w:hAnsi="仿宋_GB2312" w:eastAsia="仿宋_GB2312" w:cs="仿宋_GB2312"/>
          <w:szCs w:val="32"/>
          <w:lang w:val="en-US" w:eastAsia="zh-CN"/>
        </w:rPr>
        <w:t>证券期货业金融科技</w:t>
      </w:r>
      <w:r>
        <w:rPr>
          <w:rFonts w:hint="eastAsia" w:cs="仿宋_GB2312"/>
          <w:szCs w:val="32"/>
          <w:lang w:val="en-US" w:eastAsia="zh-CN"/>
        </w:rPr>
        <w:t>发展工作；</w:t>
      </w:r>
      <w:r>
        <w:rPr>
          <w:rFonts w:hint="eastAsia" w:ascii="仿宋_GB2312" w:hAnsi="仿宋_GB2312" w:eastAsia="仿宋_GB2312" w:cs="仿宋_GB2312"/>
          <w:szCs w:val="32"/>
          <w:lang w:val="en-US" w:eastAsia="zh-CN"/>
        </w:rPr>
        <w:t>深圳市金融局推动成立</w:t>
      </w:r>
      <w:r>
        <w:rPr>
          <w:rFonts w:hint="eastAsia" w:cs="仿宋_GB2312"/>
          <w:szCs w:val="32"/>
          <w:lang w:val="en-US" w:eastAsia="zh-CN"/>
        </w:rPr>
        <w:t>国内</w:t>
      </w:r>
      <w:r>
        <w:rPr>
          <w:rFonts w:hint="eastAsia" w:ascii="仿宋_GB2312" w:hAnsi="仿宋_GB2312" w:eastAsia="仿宋_GB2312" w:cs="仿宋_GB2312"/>
          <w:szCs w:val="32"/>
          <w:lang w:val="en-US" w:eastAsia="zh-CN"/>
        </w:rPr>
        <w:t>首个金融科技伦理委员会，并</w:t>
      </w:r>
      <w:r>
        <w:rPr>
          <w:rFonts w:hint="eastAsia" w:cs="仿宋_GB2312"/>
          <w:szCs w:val="32"/>
          <w:lang w:val="en-US" w:eastAsia="zh-CN"/>
        </w:rPr>
        <w:t>倡导</w:t>
      </w:r>
      <w:r>
        <w:rPr>
          <w:rFonts w:hint="eastAsia" w:ascii="仿宋_GB2312" w:hAnsi="仿宋_GB2312" w:eastAsia="仿宋_GB2312" w:cs="仿宋_GB2312"/>
          <w:szCs w:val="32"/>
          <w:lang w:val="en-US" w:eastAsia="zh-CN"/>
        </w:rPr>
        <w:t>发布《深圳市金融科技伦理宣言》，</w:t>
      </w:r>
      <w:r>
        <w:rPr>
          <w:rFonts w:hint="eastAsia" w:cs="仿宋_GB2312"/>
          <w:szCs w:val="32"/>
          <w:lang w:val="en-US" w:eastAsia="zh-CN"/>
        </w:rPr>
        <w:t>推动行业严守合规底线</w:t>
      </w:r>
      <w:r>
        <w:rPr>
          <w:rFonts w:hint="eastAsia" w:ascii="仿宋_GB2312" w:hAnsi="仿宋_GB2312" w:eastAsia="仿宋_GB2312" w:cs="仿宋_GB2312"/>
          <w:szCs w:val="32"/>
          <w:lang w:val="en-US" w:eastAsia="zh-CN"/>
        </w:rPr>
        <w:t>，</w:t>
      </w:r>
      <w:r>
        <w:rPr>
          <w:rFonts w:hint="eastAsia" w:cs="仿宋_GB2312"/>
          <w:szCs w:val="32"/>
          <w:lang w:val="en-US" w:eastAsia="zh-CN"/>
        </w:rPr>
        <w:t>做到</w:t>
      </w:r>
      <w:r>
        <w:rPr>
          <w:rFonts w:hint="eastAsia" w:ascii="仿宋_GB2312" w:hAnsi="仿宋_GB2312" w:eastAsia="仿宋_GB2312" w:cs="仿宋_GB2312"/>
          <w:szCs w:val="32"/>
          <w:lang w:val="en-US" w:eastAsia="zh-CN"/>
        </w:rPr>
        <w:t>守正创新。在监管科技应用方面，深圳市</w:t>
      </w:r>
      <w:r>
        <w:rPr>
          <w:rFonts w:hint="eastAsia" w:cs="仿宋_GB2312"/>
          <w:szCs w:val="32"/>
          <w:lang w:val="en-US" w:eastAsia="zh-CN"/>
        </w:rPr>
        <w:t>开发</w:t>
      </w:r>
      <w:r>
        <w:rPr>
          <w:rFonts w:hint="eastAsia" w:ascii="仿宋_GB2312" w:hAnsi="仿宋_GB2312" w:eastAsia="仿宋_GB2312" w:cs="仿宋_GB2312"/>
          <w:szCs w:val="32"/>
          <w:lang w:val="en-US" w:eastAsia="zh-CN"/>
        </w:rPr>
        <w:t>了地方金融风险监测预警系统</w:t>
      </w:r>
      <w:r>
        <w:rPr>
          <w:rFonts w:hint="eastAsia" w:cs="仿宋_GB2312"/>
          <w:szCs w:val="32"/>
          <w:lang w:val="en-US" w:eastAsia="zh-CN"/>
        </w:rPr>
        <w:t>、</w:t>
      </w:r>
      <w:r>
        <w:rPr>
          <w:rFonts w:hint="eastAsia" w:ascii="仿宋_GB2312" w:hAnsi="仿宋_GB2312" w:eastAsia="仿宋_GB2312" w:cs="仿宋_GB2312"/>
          <w:szCs w:val="32"/>
          <w:lang w:val="en-US" w:eastAsia="zh-CN"/>
        </w:rPr>
        <w:t>大数据市场监察系统等</w:t>
      </w:r>
      <w:r>
        <w:rPr>
          <w:rFonts w:hint="eastAsia" w:cs="仿宋_GB2312"/>
          <w:szCs w:val="32"/>
          <w:lang w:val="en-US" w:eastAsia="zh-CN"/>
        </w:rPr>
        <w:t>，通过科技赋能提高风险精准识别防范能力。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19" w:firstLineChars="200"/>
        <w:rPr>
          <w:rFonts w:hint="eastAsia" w:ascii="Times New Roman" w:hAnsi="Times New Roman" w:cs="Times New Roman"/>
          <w:kern w:val="2"/>
          <w:sz w:val="32"/>
          <w:szCs w:val="32"/>
          <w:lang w:val="en-US" w:eastAsia="zh-CN" w:bidi="ar-SA"/>
        </w:rPr>
      </w:pPr>
      <w:r>
        <w:rPr>
          <w:rFonts w:hint="eastAsia" w:cs="仿宋_GB2312"/>
          <w:b/>
          <w:bCs/>
          <w:spacing w:val="-6"/>
          <w:sz w:val="32"/>
          <w:szCs w:val="32"/>
          <w:lang w:val="en-US" w:eastAsia="zh-CN"/>
        </w:rPr>
        <w:t>5.基础服务支撑不断巩固。</w:t>
      </w:r>
      <w:r>
        <w:rPr>
          <w:rFonts w:hint="eastAsia" w:ascii="仿宋_GB2312" w:hAnsi="仿宋_GB2312" w:eastAsia="仿宋_GB2312" w:cs="仿宋_GB2312"/>
          <w:spacing w:val="-6"/>
          <w:sz w:val="32"/>
          <w:szCs w:val="32"/>
          <w:lang w:val="en-US" w:eastAsia="zh-CN"/>
        </w:rPr>
        <w:t>国证香蜜湖金融科技指数于2017年完成编制并上市，与该指数挂钩的LOF基金产品也成功发行，一批</w:t>
      </w:r>
      <w:r>
        <w:rPr>
          <w:rFonts w:hint="eastAsia" w:cs="仿宋_GB2312"/>
          <w:spacing w:val="-6"/>
          <w:sz w:val="32"/>
          <w:szCs w:val="32"/>
          <w:lang w:val="en-US" w:eastAsia="zh-CN"/>
        </w:rPr>
        <w:t>金融科技类企业</w:t>
      </w:r>
      <w:r>
        <w:rPr>
          <w:rFonts w:hint="eastAsia" w:ascii="仿宋_GB2312" w:hAnsi="仿宋_GB2312" w:eastAsia="仿宋_GB2312" w:cs="仿宋_GB2312"/>
          <w:spacing w:val="-6"/>
          <w:sz w:val="32"/>
          <w:szCs w:val="32"/>
          <w:lang w:val="en-US" w:eastAsia="zh-CN"/>
        </w:rPr>
        <w:t>在境内外上市或获多轮风险投资，融资环境不断优化。借鉴特许金融分析师（CFA）、金融风险管理师（FRM）等经验，深港澳三地金融监管局联合行业协会、高等院校等于2019年启动“深港澳金融科技师专才计划”（SHMFTPP），建立集培训、考试、认定为一体的培养机制，已产生1</w:t>
      </w:r>
      <w:r>
        <w:rPr>
          <w:rFonts w:hint="eastAsia" w:cs="仿宋_GB2312"/>
          <w:spacing w:val="-6"/>
          <w:sz w:val="32"/>
          <w:szCs w:val="32"/>
          <w:lang w:val="en-US" w:eastAsia="zh-CN"/>
        </w:rPr>
        <w:t>376</w:t>
      </w:r>
      <w:r>
        <w:rPr>
          <w:rFonts w:hint="eastAsia" w:ascii="仿宋_GB2312" w:hAnsi="仿宋_GB2312" w:eastAsia="仿宋_GB2312" w:cs="仿宋_GB2312"/>
          <w:spacing w:val="-6"/>
          <w:sz w:val="32"/>
          <w:szCs w:val="32"/>
          <w:lang w:val="en-US" w:eastAsia="zh-CN"/>
        </w:rPr>
        <w:t>名一级持证人和75名二级持证人，</w:t>
      </w:r>
      <w:r>
        <w:rPr>
          <w:rFonts w:hint="eastAsia" w:ascii="Times New Roman" w:hAnsi="Times New Roman" w:cs="Times New Roman"/>
          <w:spacing w:val="-6"/>
          <w:sz w:val="32"/>
          <w:szCs w:val="32"/>
          <w:lang w:val="en-US" w:eastAsia="zh-CN"/>
        </w:rPr>
        <w:t>人才支撑优势突出。深圳金融科技研究院（央行金融科技研究院）、国家金融科技测评中心等重大基础设施相继落地，发挥引领带动作用。</w:t>
      </w:r>
      <w:r>
        <w:rPr>
          <w:rFonts w:hint="eastAsia" w:ascii="Times New Roman" w:hAnsi="Times New Roman" w:eastAsia="仿宋_GB2312" w:cs="Times New Roman"/>
          <w:spacing w:val="-6"/>
          <w:kern w:val="2"/>
          <w:sz w:val="32"/>
          <w:szCs w:val="32"/>
          <w:lang w:val="en-US" w:eastAsia="zh-CN" w:bidi="ar-SA"/>
        </w:rPr>
        <w:t>深圳大学、南方科技大学、中科院深圳理工大学</w:t>
      </w:r>
      <w:r>
        <w:rPr>
          <w:rFonts w:hint="eastAsia" w:ascii="Times New Roman" w:hAnsi="Times New Roman" w:cs="Times New Roman"/>
          <w:spacing w:val="-6"/>
          <w:kern w:val="2"/>
          <w:sz w:val="32"/>
          <w:szCs w:val="32"/>
          <w:lang w:val="en-US" w:eastAsia="zh-CN" w:bidi="ar-SA"/>
        </w:rPr>
        <w:t>等</w:t>
      </w:r>
      <w:r>
        <w:rPr>
          <w:rFonts w:hint="eastAsia" w:ascii="Times New Roman" w:hAnsi="Times New Roman" w:eastAsia="仿宋_GB2312" w:cs="Times New Roman"/>
          <w:spacing w:val="-6"/>
          <w:kern w:val="2"/>
          <w:sz w:val="32"/>
          <w:szCs w:val="32"/>
          <w:lang w:val="en-US" w:eastAsia="zh-CN" w:bidi="ar-SA"/>
        </w:rPr>
        <w:t>在人工智能、区块链等</w:t>
      </w:r>
      <w:r>
        <w:rPr>
          <w:rFonts w:hint="eastAsia" w:ascii="Times New Roman" w:hAnsi="Times New Roman" w:cs="Times New Roman"/>
          <w:spacing w:val="-6"/>
          <w:kern w:val="2"/>
          <w:sz w:val="32"/>
          <w:szCs w:val="32"/>
          <w:lang w:val="en-US" w:eastAsia="zh-CN" w:bidi="ar-SA"/>
        </w:rPr>
        <w:t>领域开展深入研究，促进了理论与应用发展。</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color w:val="0000FF"/>
          <w:kern w:val="2"/>
          <w:sz w:val="32"/>
          <w:szCs w:val="32"/>
          <w:lang w:val="en-US" w:eastAsia="zh-CN" w:bidi="ar-SA"/>
        </w:rPr>
      </w:pPr>
      <w:r>
        <w:rPr>
          <w:rFonts w:hint="eastAsia" w:cs="仿宋_GB2312"/>
          <w:b/>
          <w:bCs/>
          <w:szCs w:val="32"/>
          <w:lang w:val="en-US" w:eastAsia="zh-CN"/>
        </w:rPr>
        <w:t>6</w:t>
      </w:r>
      <w:r>
        <w:rPr>
          <w:rFonts w:hint="default" w:ascii="仿宋_GB2312" w:hAnsi="仿宋_GB2312" w:eastAsia="仿宋_GB2312" w:cs="仿宋_GB2312"/>
          <w:b/>
          <w:bCs/>
          <w:szCs w:val="32"/>
          <w:lang w:eastAsia="zh-CN"/>
        </w:rPr>
        <w:t>.</w:t>
      </w:r>
      <w:r>
        <w:rPr>
          <w:rFonts w:hint="eastAsia" w:cs="仿宋_GB2312"/>
          <w:b/>
          <w:bCs/>
          <w:szCs w:val="32"/>
          <w:lang w:val="en-US" w:eastAsia="zh-CN"/>
        </w:rPr>
        <w:t>互动交流</w:t>
      </w:r>
      <w:r>
        <w:rPr>
          <w:rFonts w:hint="eastAsia" w:ascii="仿宋_GB2312" w:hAnsi="仿宋_GB2312" w:eastAsia="仿宋_GB2312" w:cs="仿宋_GB2312"/>
          <w:b/>
          <w:bCs/>
          <w:szCs w:val="32"/>
          <w:lang w:val="en-US" w:eastAsia="zh-CN"/>
        </w:rPr>
        <w:t>合作</w:t>
      </w:r>
      <w:r>
        <w:rPr>
          <w:rFonts w:hint="default" w:cs="仿宋_GB2312"/>
          <w:b/>
          <w:bCs/>
          <w:szCs w:val="32"/>
          <w:lang w:eastAsia="zh-CN"/>
        </w:rPr>
        <w:t>日益</w:t>
      </w:r>
      <w:r>
        <w:rPr>
          <w:rFonts w:hint="eastAsia" w:ascii="仿宋_GB2312" w:hAnsi="仿宋_GB2312" w:eastAsia="仿宋_GB2312" w:cs="仿宋_GB2312"/>
          <w:b/>
          <w:bCs/>
          <w:szCs w:val="32"/>
          <w:lang w:val="en-US" w:eastAsia="zh-CN"/>
        </w:rPr>
        <w:t>密切</w:t>
      </w:r>
      <w:r>
        <w:rPr>
          <w:rFonts w:hint="eastAsia" w:cs="仿宋_GB2312"/>
          <w:b/>
          <w:bCs/>
          <w:szCs w:val="32"/>
          <w:lang w:val="en-US" w:eastAsia="zh-CN"/>
        </w:rPr>
        <w:t>。</w:t>
      </w:r>
      <w:r>
        <w:rPr>
          <w:rFonts w:hint="eastAsia" w:ascii="Times New Roman" w:hAnsi="Times New Roman" w:cs="Times New Roman"/>
          <w:spacing w:val="-6"/>
          <w:kern w:val="2"/>
          <w:sz w:val="32"/>
          <w:szCs w:val="32"/>
          <w:lang w:val="en-US" w:eastAsia="zh-CN" w:bidi="ar-SA"/>
        </w:rPr>
        <w:t>深港两地在金融科技发展、人才培训、经验交流等方面紧密合作，签署了合作备忘录，深港澳金融科技联盟秘书处落</w:t>
      </w:r>
      <w:r>
        <w:rPr>
          <w:rFonts w:hint="eastAsia" w:ascii="仿宋_GB2312" w:hAnsi="仿宋_GB2312" w:eastAsia="仿宋_GB2312" w:cs="仿宋_GB2312"/>
          <w:spacing w:val="-6"/>
          <w:kern w:val="2"/>
          <w:sz w:val="32"/>
          <w:szCs w:val="32"/>
          <w:lang w:val="en-US" w:eastAsia="zh-CN" w:bidi="ar-SA"/>
        </w:rPr>
        <w:t>地深圳。自2016年起，深港澳金融监管部门等已联合举办6届</w:t>
      </w:r>
      <w:r>
        <w:rPr>
          <w:rFonts w:hint="eastAsia" w:ascii="Times New Roman" w:hAnsi="Times New Roman" w:cs="Times New Roman"/>
          <w:spacing w:val="-6"/>
          <w:kern w:val="2"/>
          <w:sz w:val="32"/>
          <w:szCs w:val="32"/>
          <w:lang w:val="en-US" w:eastAsia="zh-CN" w:bidi="ar-SA"/>
        </w:rPr>
        <w:t>中国（深圳）金融科技全球峰会，围绕金融科技赋能普惠金融、金融新基建、数据治理创新、金融科技伦理等议题开展高端对话交流。同时，深圳与伦敦金融城、新加坡、阿布扎比等国际金融中心就金融科技已开展多次互动交流，分享经验、探讨合作。此外，业界的论坛活动丰富多元，比如深交所承了证券期货业金融科技研究发展中心，并每年举办行业技术大会；深圳市金融科技协会连续举办十届中国金融科技发展论坛，中小银行互联网金融（深圳）联盟举办5届中国数字银行论坛等；深圳市金融区块链发展促进会连续举办三届区块链生态大会。</w:t>
      </w:r>
    </w:p>
    <w:p>
      <w:pPr>
        <w:pStyle w:val="4"/>
        <w:pageBreakBefore w:val="0"/>
        <w:widowControl w:val="0"/>
        <w:kinsoku/>
        <w:wordWrap/>
        <w:overflowPunct/>
        <w:topLinePunct w:val="0"/>
        <w:autoSpaceDE w:val="0"/>
        <w:autoSpaceDN w:val="0"/>
        <w:bidi w:val="0"/>
        <w:adjustRightInd/>
        <w:snapToGrid/>
        <w:spacing w:line="560" w:lineRule="exact"/>
        <w:ind w:firstLine="643"/>
        <w:rPr>
          <w:rFonts w:hint="eastAsia" w:ascii="Times New Roman" w:hAnsi="Times New Roman" w:eastAsia="楷体_GB2312" w:cs="Times New Roman"/>
          <w:lang w:eastAsia="zh-CN"/>
        </w:rPr>
      </w:pPr>
      <w:bookmarkStart w:id="5" w:name="_Toc8025"/>
      <w:bookmarkStart w:id="6" w:name="_Toc729319849"/>
      <w:bookmarkStart w:id="7" w:name="_Toc6212"/>
      <w:bookmarkStart w:id="8" w:name="_Toc5289"/>
      <w:r>
        <w:rPr>
          <w:rFonts w:ascii="Times New Roman" w:hAnsi="Times New Roman" w:cs="Times New Roman"/>
        </w:rPr>
        <w:t>（二）存在</w:t>
      </w:r>
      <w:bookmarkEnd w:id="5"/>
      <w:r>
        <w:rPr>
          <w:rFonts w:hint="eastAsia" w:ascii="Times New Roman" w:hAnsi="Times New Roman" w:cs="Times New Roman"/>
          <w:lang w:eastAsia="zh-CN"/>
        </w:rPr>
        <w:t>不足</w:t>
      </w:r>
      <w:bookmarkEnd w:id="6"/>
    </w:p>
    <w:p>
      <w:pPr>
        <w:pageBreakBefore w:val="0"/>
        <w:widowControl w:val="0"/>
        <w:kinsoku/>
        <w:wordWrap/>
        <w:overflowPunct/>
        <w:topLinePunct w:val="0"/>
        <w:autoSpaceDE w:val="0"/>
        <w:autoSpaceDN w:val="0"/>
        <w:bidi w:val="0"/>
        <w:adjustRightInd/>
        <w:snapToGrid/>
        <w:spacing w:line="560" w:lineRule="exact"/>
        <w:rPr>
          <w:rFonts w:hint="eastAsia" w:cs="仿宋_GB2312"/>
          <w:b/>
          <w:bCs/>
          <w:szCs w:val="32"/>
        </w:rPr>
      </w:pPr>
      <w:r>
        <w:rPr>
          <w:rFonts w:hint="eastAsia" w:ascii="Times New Roman" w:hAnsi="Times New Roman" w:cs="Times New Roman"/>
          <w:spacing w:val="-6"/>
          <w:kern w:val="2"/>
          <w:sz w:val="32"/>
          <w:szCs w:val="32"/>
          <w:lang w:val="en-US" w:eastAsia="zh-CN" w:bidi="ar-SA"/>
        </w:rPr>
        <w:t>在肯定成绩的同时，也要清醒看到当前深圳金融科技发展存在的不足：</w:t>
      </w:r>
      <w:r>
        <w:rPr>
          <w:rFonts w:hint="eastAsia" w:ascii="Times New Roman" w:hAnsi="Times New Roman" w:cs="Times New Roman"/>
          <w:b/>
          <w:bCs/>
          <w:spacing w:val="-6"/>
          <w:kern w:val="2"/>
          <w:sz w:val="32"/>
          <w:szCs w:val="32"/>
          <w:lang w:val="en-US" w:eastAsia="zh-CN" w:bidi="ar-SA"/>
        </w:rPr>
        <w:t>一是</w:t>
      </w:r>
      <w:r>
        <w:rPr>
          <w:rFonts w:hint="eastAsia" w:ascii="Times New Roman" w:hAnsi="Times New Roman" w:cs="Times New Roman"/>
          <w:spacing w:val="-6"/>
          <w:kern w:val="2"/>
          <w:sz w:val="32"/>
          <w:szCs w:val="32"/>
          <w:lang w:val="en-US" w:eastAsia="zh-CN" w:bidi="ar-SA"/>
        </w:rPr>
        <w:t>整体布局尚不均衡，</w:t>
      </w:r>
      <w:r>
        <w:rPr>
          <w:rFonts w:hint="eastAsia" w:ascii="Times New Roman" w:hAnsi="Times New Roman" w:cs="Times New Roman"/>
          <w:szCs w:val="32"/>
          <w:lang w:eastAsia="zh-CN"/>
        </w:rPr>
        <w:t>金融科技类企业</w:t>
      </w:r>
      <w:r>
        <w:rPr>
          <w:rFonts w:hint="eastAsia" w:ascii="Times New Roman" w:hAnsi="Times New Roman" w:cs="Times New Roman"/>
          <w:szCs w:val="32"/>
        </w:rPr>
        <w:t>集群</w:t>
      </w:r>
      <w:r>
        <w:rPr>
          <w:rFonts w:hint="eastAsia" w:ascii="Times New Roman" w:hAnsi="Times New Roman" w:cs="Times New Roman"/>
          <w:szCs w:val="32"/>
          <w:lang w:eastAsia="zh-CN"/>
        </w:rPr>
        <w:t>、市场主体梯队建设仍需完善，</w:t>
      </w:r>
      <w:r>
        <w:rPr>
          <w:rFonts w:hint="eastAsia" w:ascii="Times New Roman" w:hAnsi="Times New Roman" w:cs="Times New Roman"/>
          <w:szCs w:val="32"/>
        </w:rPr>
        <w:t>各区优势产业与金融科技融合发展的程度有待提升</w:t>
      </w:r>
      <w:r>
        <w:rPr>
          <w:rFonts w:hint="eastAsia" w:ascii="Times New Roman" w:hAnsi="Times New Roman" w:cs="Times New Roman"/>
          <w:szCs w:val="32"/>
          <w:lang w:eastAsia="zh-CN"/>
        </w:rPr>
        <w:t>；</w:t>
      </w:r>
      <w:r>
        <w:rPr>
          <w:rFonts w:hint="eastAsia" w:ascii="Times New Roman" w:hAnsi="Times New Roman" w:cs="Times New Roman"/>
          <w:b/>
          <w:bCs/>
          <w:szCs w:val="32"/>
          <w:lang w:eastAsia="zh-CN"/>
        </w:rPr>
        <w:t>二是</w:t>
      </w:r>
      <w:r>
        <w:rPr>
          <w:rFonts w:hint="eastAsia" w:ascii="Times New Roman" w:hAnsi="Times New Roman" w:cs="Times New Roman"/>
          <w:szCs w:val="32"/>
          <w:lang w:eastAsia="zh-CN"/>
        </w:rPr>
        <w:t>应用场景还待拓展，</w:t>
      </w:r>
      <w:r>
        <w:rPr>
          <w:rFonts w:hint="eastAsia" w:ascii="Times New Roman" w:hAnsi="Times New Roman" w:cs="Times New Roman"/>
          <w:szCs w:val="32"/>
        </w:rPr>
        <w:t>在</w:t>
      </w:r>
      <w:r>
        <w:rPr>
          <w:rFonts w:hint="eastAsia" w:ascii="Times New Roman" w:hAnsi="Times New Roman" w:cs="Times New Roman"/>
          <w:szCs w:val="32"/>
          <w:lang w:eastAsia="zh-CN"/>
        </w:rPr>
        <w:t>金融科技赋能跨境合作、</w:t>
      </w:r>
      <w:r>
        <w:rPr>
          <w:rFonts w:hint="eastAsia" w:ascii="Times New Roman" w:hAnsi="Times New Roman" w:cs="Times New Roman"/>
          <w:szCs w:val="32"/>
        </w:rPr>
        <w:t>普惠民生、绿色环保、乡村振兴、海洋经济等领域</w:t>
      </w:r>
      <w:r>
        <w:rPr>
          <w:rFonts w:hint="eastAsia" w:ascii="Times New Roman" w:hAnsi="Times New Roman" w:cs="Times New Roman"/>
          <w:szCs w:val="32"/>
          <w:lang w:eastAsia="zh-CN"/>
        </w:rPr>
        <w:t>还需</w:t>
      </w:r>
      <w:r>
        <w:rPr>
          <w:rFonts w:hint="eastAsia" w:ascii="Times New Roman" w:hAnsi="Times New Roman" w:cs="Times New Roman"/>
          <w:szCs w:val="32"/>
        </w:rPr>
        <w:t>开发创造更多的亮点应用</w:t>
      </w:r>
      <w:r>
        <w:rPr>
          <w:rFonts w:hint="eastAsia" w:ascii="Times New Roman" w:hAnsi="Times New Roman" w:cs="Times New Roman"/>
          <w:szCs w:val="32"/>
          <w:lang w:eastAsia="zh-CN"/>
        </w:rPr>
        <w:t>；</w:t>
      </w:r>
      <w:r>
        <w:rPr>
          <w:rFonts w:hint="eastAsia" w:ascii="Times New Roman" w:hAnsi="Times New Roman" w:cs="Times New Roman"/>
          <w:b/>
          <w:bCs/>
          <w:szCs w:val="32"/>
          <w:lang w:eastAsia="zh-CN"/>
        </w:rPr>
        <w:t>三是</w:t>
      </w:r>
      <w:r>
        <w:rPr>
          <w:rFonts w:hint="eastAsia" w:ascii="Times New Roman" w:hAnsi="Times New Roman" w:cs="Times New Roman"/>
          <w:szCs w:val="32"/>
        </w:rPr>
        <w:t>投融资体系仍需完善，</w:t>
      </w:r>
      <w:r>
        <w:rPr>
          <w:rFonts w:hint="eastAsia" w:ascii="Times New Roman" w:hAnsi="Times New Roman" w:cs="Times New Roman"/>
          <w:szCs w:val="32"/>
          <w:lang w:eastAsia="zh-CN"/>
        </w:rPr>
        <w:t>围绕</w:t>
      </w:r>
      <w:r>
        <w:rPr>
          <w:rFonts w:hint="eastAsia" w:ascii="Times New Roman" w:hAnsi="Times New Roman" w:cs="Times New Roman"/>
          <w:szCs w:val="32"/>
        </w:rPr>
        <w:t>金融科技领域股权投资份额的托管、估值、质押、转让等机制有待</w:t>
      </w:r>
      <w:r>
        <w:rPr>
          <w:rFonts w:hint="eastAsia" w:ascii="Times New Roman" w:hAnsi="Times New Roman" w:cs="Times New Roman"/>
          <w:szCs w:val="32"/>
          <w:lang w:eastAsia="zh-CN"/>
        </w:rPr>
        <w:t>构建</w:t>
      </w:r>
      <w:r>
        <w:rPr>
          <w:rFonts w:hint="eastAsia" w:ascii="Times New Roman" w:hAnsi="Times New Roman" w:cs="Times New Roman"/>
          <w:szCs w:val="32"/>
        </w:rPr>
        <w:t>，金融科技指数及与其挂钩的投资产品</w:t>
      </w:r>
      <w:r>
        <w:rPr>
          <w:rFonts w:hint="eastAsia" w:ascii="Times New Roman" w:hAnsi="Times New Roman" w:cs="Times New Roman"/>
          <w:szCs w:val="32"/>
          <w:lang w:eastAsia="zh-CN"/>
        </w:rPr>
        <w:t>还不</w:t>
      </w:r>
      <w:r>
        <w:rPr>
          <w:rFonts w:hint="eastAsia" w:ascii="Times New Roman" w:hAnsi="Times New Roman" w:cs="Times New Roman"/>
          <w:szCs w:val="32"/>
        </w:rPr>
        <w:t>丰富</w:t>
      </w:r>
      <w:r>
        <w:rPr>
          <w:rFonts w:hint="eastAsia" w:ascii="Times New Roman" w:hAnsi="Times New Roman" w:cs="Times New Roman"/>
          <w:szCs w:val="32"/>
          <w:lang w:eastAsia="zh-CN"/>
        </w:rPr>
        <w:t>；</w:t>
      </w:r>
      <w:r>
        <w:rPr>
          <w:rFonts w:hint="eastAsia" w:ascii="Times New Roman" w:hAnsi="Times New Roman" w:cs="Times New Roman"/>
          <w:b/>
          <w:bCs/>
          <w:kern w:val="2"/>
          <w:sz w:val="32"/>
          <w:szCs w:val="32"/>
          <w:lang w:val="en-US" w:eastAsia="zh-CN" w:bidi="ar-SA"/>
        </w:rPr>
        <w:t>四是</w:t>
      </w:r>
      <w:r>
        <w:rPr>
          <w:rFonts w:hint="eastAsia" w:ascii="Times New Roman" w:hAnsi="Times New Roman" w:eastAsia="仿宋_GB2312" w:cs="Times New Roman"/>
          <w:kern w:val="2"/>
          <w:sz w:val="32"/>
          <w:szCs w:val="32"/>
          <w:lang w:val="en-US" w:eastAsia="zh-CN" w:bidi="ar-SA"/>
        </w:rPr>
        <w:t>创新监管机制有待健全，</w:t>
      </w:r>
      <w:r>
        <w:rPr>
          <w:rFonts w:hint="eastAsia" w:ascii="Times New Roman" w:hAnsi="Times New Roman" w:cs="Times New Roman"/>
          <w:kern w:val="2"/>
          <w:sz w:val="32"/>
          <w:szCs w:val="32"/>
          <w:lang w:val="en-US" w:eastAsia="zh-CN" w:bidi="ar-SA"/>
        </w:rPr>
        <w:t>金融科技创新监管试点需持续深化，围绕</w:t>
      </w:r>
      <w:r>
        <w:rPr>
          <w:rFonts w:hint="eastAsia" w:ascii="Times New Roman" w:hAnsi="Times New Roman" w:cs="Times New Roman"/>
          <w:szCs w:val="32"/>
        </w:rPr>
        <w:t>项目申报、评审准入、信息披露、投诉受理、公众监督、数据应用、模型治理、风险监测、出盒认证等</w:t>
      </w:r>
      <w:r>
        <w:rPr>
          <w:rFonts w:hint="eastAsia" w:ascii="Times New Roman" w:hAnsi="Times New Roman" w:cs="Times New Roman"/>
          <w:szCs w:val="32"/>
          <w:lang w:eastAsia="zh-CN"/>
        </w:rPr>
        <w:t>全链条的制度标准建设以及</w:t>
      </w:r>
      <w:r>
        <w:rPr>
          <w:rFonts w:hint="eastAsia" w:ascii="Times New Roman" w:hAnsi="Times New Roman" w:cs="Times New Roman"/>
          <w:szCs w:val="32"/>
        </w:rPr>
        <w:t>金融科技伦理体系建设</w:t>
      </w:r>
      <w:r>
        <w:rPr>
          <w:rFonts w:hint="eastAsia" w:ascii="Times New Roman" w:hAnsi="Times New Roman" w:cs="Times New Roman"/>
          <w:szCs w:val="32"/>
          <w:lang w:eastAsia="zh-CN"/>
        </w:rPr>
        <w:t>还需持续发力；</w:t>
      </w:r>
      <w:r>
        <w:rPr>
          <w:rFonts w:hint="eastAsia" w:ascii="Times New Roman" w:hAnsi="Times New Roman" w:cs="Times New Roman"/>
          <w:b/>
          <w:bCs/>
          <w:szCs w:val="32"/>
          <w:lang w:eastAsia="zh-CN"/>
        </w:rPr>
        <w:t>五是</w:t>
      </w:r>
      <w:r>
        <w:rPr>
          <w:rFonts w:hint="eastAsia" w:ascii="Times New Roman" w:hAnsi="Times New Roman" w:cs="Times New Roman"/>
          <w:szCs w:val="32"/>
          <w:lang w:eastAsia="zh-CN"/>
        </w:rPr>
        <w:t>配套支撑体系还需提升，</w:t>
      </w:r>
      <w:r>
        <w:rPr>
          <w:rFonts w:hint="eastAsia" w:ascii="Times New Roman" w:hAnsi="Times New Roman" w:cs="Times New Roman"/>
          <w:szCs w:val="32"/>
        </w:rPr>
        <w:t>针对金融科技研发成果的全生命周期孵化转化</w:t>
      </w:r>
      <w:r>
        <w:rPr>
          <w:rFonts w:hint="eastAsia" w:ascii="Times New Roman" w:hAnsi="Times New Roman" w:cs="Times New Roman"/>
          <w:szCs w:val="32"/>
          <w:lang w:eastAsia="zh-CN"/>
        </w:rPr>
        <w:t>以及服务</w:t>
      </w:r>
      <w:r>
        <w:rPr>
          <w:rFonts w:hint="eastAsia" w:ascii="Times New Roman" w:hAnsi="Times New Roman" w:cs="Times New Roman"/>
          <w:szCs w:val="32"/>
        </w:rPr>
        <w:t>企业加速成长</w:t>
      </w:r>
      <w:r>
        <w:rPr>
          <w:rFonts w:hint="eastAsia" w:ascii="Times New Roman" w:hAnsi="Times New Roman" w:cs="Times New Roman"/>
          <w:szCs w:val="32"/>
          <w:lang w:eastAsia="zh-CN"/>
        </w:rPr>
        <w:t>、源头创新的</w:t>
      </w:r>
      <w:r>
        <w:rPr>
          <w:rFonts w:hint="eastAsia" w:ascii="Times New Roman" w:hAnsi="Times New Roman" w:cs="Times New Roman"/>
          <w:szCs w:val="32"/>
        </w:rPr>
        <w:t>平台</w:t>
      </w:r>
      <w:r>
        <w:rPr>
          <w:rFonts w:hint="eastAsia" w:ascii="Times New Roman" w:hAnsi="Times New Roman" w:cs="Times New Roman"/>
          <w:szCs w:val="32"/>
          <w:lang w:eastAsia="zh-CN"/>
        </w:rPr>
        <w:t>设施比较</w:t>
      </w:r>
      <w:r>
        <w:rPr>
          <w:rFonts w:hint="eastAsia" w:ascii="Times New Roman" w:hAnsi="Times New Roman" w:cs="Times New Roman"/>
          <w:szCs w:val="32"/>
        </w:rPr>
        <w:t>欠缺，在金融科技半导体</w:t>
      </w:r>
      <w:r>
        <w:rPr>
          <w:rFonts w:ascii="Times New Roman" w:hAnsi="Times New Roman" w:cs="Times New Roman"/>
          <w:szCs w:val="32"/>
        </w:rPr>
        <w:t>核心</w:t>
      </w:r>
      <w:r>
        <w:rPr>
          <w:rFonts w:hint="eastAsia" w:ascii="Times New Roman" w:hAnsi="Times New Roman" w:cs="Times New Roman"/>
          <w:szCs w:val="32"/>
        </w:rPr>
        <w:t>芯片、关键金融级数据库、核心中间件等领域</w:t>
      </w:r>
      <w:r>
        <w:rPr>
          <w:rFonts w:hint="eastAsia" w:ascii="Times New Roman" w:hAnsi="Times New Roman" w:cs="Times New Roman"/>
          <w:szCs w:val="32"/>
          <w:lang w:eastAsia="zh-CN"/>
        </w:rPr>
        <w:t>龙头</w:t>
      </w:r>
      <w:r>
        <w:rPr>
          <w:rFonts w:hint="eastAsia" w:ascii="Times New Roman" w:hAnsi="Times New Roman" w:cs="Times New Roman"/>
          <w:szCs w:val="32"/>
        </w:rPr>
        <w:t>企业</w:t>
      </w:r>
      <w:r>
        <w:rPr>
          <w:rFonts w:hint="eastAsia" w:ascii="Times New Roman" w:hAnsi="Times New Roman" w:cs="Times New Roman"/>
          <w:szCs w:val="32"/>
          <w:lang w:eastAsia="zh-CN"/>
        </w:rPr>
        <w:t>比较</w:t>
      </w:r>
      <w:r>
        <w:rPr>
          <w:rFonts w:hint="eastAsia" w:ascii="Times New Roman" w:hAnsi="Times New Roman" w:cs="Times New Roman"/>
          <w:szCs w:val="32"/>
        </w:rPr>
        <w:t>欠缺，</w:t>
      </w:r>
      <w:r>
        <w:rPr>
          <w:rFonts w:hint="eastAsia" w:ascii="Times New Roman" w:hAnsi="Times New Roman" w:cs="Times New Roman"/>
          <w:szCs w:val="32"/>
          <w:lang w:val="en-US" w:eastAsia="zh-CN"/>
        </w:rPr>
        <w:t>复合型人才培养体系、自主可控软硬件基础设施建设等还需加强。</w:t>
      </w:r>
    </w:p>
    <w:p>
      <w:pPr>
        <w:pStyle w:val="3"/>
        <w:pageBreakBefore w:val="0"/>
        <w:widowControl w:val="0"/>
        <w:kinsoku/>
        <w:wordWrap/>
        <w:overflowPunct/>
        <w:topLinePunct w:val="0"/>
        <w:bidi w:val="0"/>
        <w:adjustRightInd/>
        <w:snapToGrid/>
        <w:spacing w:line="560" w:lineRule="exact"/>
        <w:rPr>
          <w:rFonts w:hint="eastAsia" w:ascii="Times New Roman" w:hAnsi="Times New Roman" w:eastAsia="黑体" w:cs="Times New Roman"/>
          <w:color w:val="auto"/>
          <w:lang w:eastAsia="zh-CN"/>
        </w:rPr>
      </w:pPr>
      <w:bookmarkStart w:id="9" w:name="_Toc131702899"/>
      <w:r>
        <w:rPr>
          <w:rFonts w:hint="default" w:ascii="Times New Roman" w:hAnsi="Times New Roman" w:cs="Times New Roman"/>
          <w:color w:val="auto"/>
        </w:rPr>
        <w:t>二、</w:t>
      </w:r>
      <w:bookmarkEnd w:id="7"/>
      <w:r>
        <w:rPr>
          <w:rFonts w:hint="eastAsia" w:ascii="Times New Roman" w:hAnsi="Times New Roman" w:cs="Times New Roman"/>
          <w:color w:val="auto"/>
          <w:lang w:val="en-US" w:eastAsia="zh-CN"/>
        </w:rPr>
        <w:t>总体思路</w:t>
      </w:r>
      <w:bookmarkEnd w:id="8"/>
      <w:bookmarkEnd w:id="9"/>
    </w:p>
    <w:p>
      <w:pPr>
        <w:pStyle w:val="4"/>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eastAsia="楷体_GB2312" w:cs="Times New Roman"/>
          <w:color w:val="auto"/>
        </w:rPr>
      </w:pPr>
      <w:bookmarkStart w:id="10" w:name="_Toc16086"/>
      <w:bookmarkStart w:id="11" w:name="_Toc20439"/>
      <w:bookmarkStart w:id="12" w:name="_Toc35904891"/>
      <w:r>
        <w:rPr>
          <w:rFonts w:hint="default" w:ascii="Times New Roman" w:hAnsi="Times New Roman" w:eastAsia="楷体_GB2312" w:cs="Times New Roman"/>
          <w:color w:val="auto"/>
        </w:rPr>
        <w:t>（一）指导思想</w:t>
      </w:r>
      <w:bookmarkEnd w:id="10"/>
      <w:bookmarkEnd w:id="11"/>
      <w:bookmarkEnd w:id="12"/>
    </w:p>
    <w:p>
      <w:pPr>
        <w:pageBreakBefore w:val="0"/>
        <w:widowControl w:val="0"/>
        <w:kinsoku/>
        <w:wordWrap/>
        <w:overflowPunct/>
        <w:topLinePunct w:val="0"/>
        <w:autoSpaceDE w:val="0"/>
        <w:autoSpaceDN w:val="0"/>
        <w:bidi w:val="0"/>
        <w:adjustRightInd/>
        <w:snapToGrid/>
        <w:spacing w:line="560" w:lineRule="exact"/>
        <w:ind w:firstLine="640" w:firstLineChars="200"/>
        <w:rPr>
          <w:rFonts w:hint="default"/>
        </w:rPr>
      </w:pPr>
      <w:r>
        <w:rPr>
          <w:rFonts w:hint="default" w:ascii="Times New Roman" w:hAnsi="Times New Roman" w:cs="Times New Roman"/>
          <w:color w:val="auto"/>
          <w:szCs w:val="32"/>
        </w:rPr>
        <w:t>以习近平新时代中国特色社会主义思想为指导，全面贯彻落实党的十九大和十九届历次全会精神</w:t>
      </w:r>
      <w:r>
        <w:rPr>
          <w:rFonts w:hint="eastAsia" w:ascii="Times New Roman" w:hAnsi="Times New Roman" w:cs="Times New Roman"/>
          <w:color w:val="auto"/>
          <w:szCs w:val="32"/>
          <w:lang w:val="en-US" w:eastAsia="zh-CN"/>
        </w:rPr>
        <w:t>和习近平总书记对广东、深圳系列重要讲话重要指示批示精神，</w:t>
      </w:r>
      <w:r>
        <w:rPr>
          <w:rFonts w:hint="default" w:ascii="Times New Roman" w:hAnsi="Times New Roman" w:cs="Times New Roman"/>
          <w:color w:val="auto"/>
          <w:szCs w:val="32"/>
        </w:rPr>
        <w:t>完整、准确、全面贯彻新发展理念，抢抓</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双区</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驱动、</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双区</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叠加、</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双改</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示范等重大战略机遇，</w:t>
      </w:r>
      <w:r>
        <w:rPr>
          <w:rFonts w:hint="default"/>
        </w:rPr>
        <w:t>在依法合规、风险可控的前提下，</w:t>
      </w:r>
      <w:r>
        <w:rPr>
          <w:rFonts w:hint="eastAsia"/>
          <w:lang w:eastAsia="zh-CN"/>
        </w:rPr>
        <w:t>大力推进</w:t>
      </w:r>
      <w:r>
        <w:rPr>
          <w:rFonts w:hint="default"/>
        </w:rPr>
        <w:t>金融科技</w:t>
      </w:r>
      <w:r>
        <w:rPr>
          <w:rFonts w:hint="eastAsia"/>
          <w:lang w:eastAsia="zh-CN"/>
        </w:rPr>
        <w:t>机构、</w:t>
      </w:r>
      <w:r>
        <w:rPr>
          <w:rFonts w:hint="default"/>
        </w:rPr>
        <w:t>技术、应用、产业、人才、标准</w:t>
      </w:r>
      <w:r>
        <w:rPr>
          <w:rFonts w:hint="eastAsia"/>
          <w:lang w:eastAsia="zh-CN"/>
        </w:rPr>
        <w:t>建设</w:t>
      </w:r>
      <w:r>
        <w:rPr>
          <w:rFonts w:hint="default"/>
        </w:rPr>
        <w:t>，打造国际一流金融科技创新生态圈，</w:t>
      </w:r>
      <w:r>
        <w:rPr>
          <w:rFonts w:hint="default" w:ascii="Times New Roman" w:hAnsi="Times New Roman" w:cs="Times New Roman"/>
          <w:color w:val="auto"/>
          <w:szCs w:val="32"/>
        </w:rPr>
        <w:t>以金融科技</w:t>
      </w:r>
      <w:r>
        <w:rPr>
          <w:rFonts w:hint="eastAsia" w:ascii="Times New Roman" w:hAnsi="Times New Roman" w:cs="Times New Roman"/>
          <w:color w:val="auto"/>
          <w:szCs w:val="32"/>
          <w:lang w:eastAsia="zh-CN"/>
        </w:rPr>
        <w:t>赋能</w:t>
      </w:r>
      <w:r>
        <w:rPr>
          <w:rFonts w:hint="default" w:ascii="Times New Roman" w:hAnsi="Times New Roman" w:cs="Times New Roman"/>
          <w:color w:val="auto"/>
          <w:szCs w:val="32"/>
        </w:rPr>
        <w:t>实体经济、服务</w:t>
      </w:r>
      <w:r>
        <w:rPr>
          <w:rFonts w:hint="eastAsia" w:ascii="Times New Roman" w:hAnsi="Times New Roman" w:cs="Times New Roman"/>
          <w:color w:val="auto"/>
          <w:szCs w:val="32"/>
          <w:lang w:eastAsia="zh-CN"/>
        </w:rPr>
        <w:t>金融</w:t>
      </w:r>
      <w:r>
        <w:rPr>
          <w:rFonts w:hint="default" w:ascii="Times New Roman" w:hAnsi="Times New Roman" w:cs="Times New Roman"/>
          <w:color w:val="auto"/>
          <w:szCs w:val="32"/>
        </w:rPr>
        <w:t>风险防控、</w:t>
      </w:r>
      <w:r>
        <w:rPr>
          <w:rFonts w:hint="eastAsia" w:ascii="Times New Roman" w:hAnsi="Times New Roman" w:cs="Times New Roman"/>
          <w:color w:val="auto"/>
          <w:szCs w:val="32"/>
          <w:lang w:eastAsia="zh-CN"/>
        </w:rPr>
        <w:t>助力</w:t>
      </w:r>
      <w:r>
        <w:rPr>
          <w:rFonts w:hint="default" w:ascii="Times New Roman" w:hAnsi="Times New Roman" w:cs="Times New Roman"/>
          <w:color w:val="auto"/>
          <w:szCs w:val="32"/>
        </w:rPr>
        <w:t>金融改革开放，促进粤港澳大湾区金融科技融合发展，加快完善金融科技</w:t>
      </w:r>
      <w:r>
        <w:rPr>
          <w:rFonts w:hint="eastAsia" w:ascii="Times New Roman" w:hAnsi="Times New Roman" w:cs="Times New Roman"/>
          <w:color w:val="auto"/>
          <w:szCs w:val="32"/>
          <w:lang w:eastAsia="zh-CN"/>
        </w:rPr>
        <w:t>“技术研发</w:t>
      </w:r>
      <w:r>
        <w:rPr>
          <w:rFonts w:hint="default" w:ascii="Times New Roman" w:hAnsi="Times New Roman" w:cs="Times New Roman"/>
          <w:color w:val="auto"/>
          <w:szCs w:val="32"/>
        </w:rPr>
        <w:t>+</w:t>
      </w:r>
      <w:r>
        <w:rPr>
          <w:rFonts w:hint="eastAsia" w:ascii="Times New Roman" w:hAnsi="Times New Roman" w:cs="Times New Roman"/>
          <w:color w:val="auto"/>
          <w:szCs w:val="32"/>
          <w:lang w:eastAsia="zh-CN"/>
        </w:rPr>
        <w:t>场景应用</w:t>
      </w:r>
      <w:r>
        <w:rPr>
          <w:rFonts w:hint="default" w:ascii="Times New Roman" w:hAnsi="Times New Roman" w:cs="Times New Roman"/>
          <w:color w:val="auto"/>
          <w:szCs w:val="32"/>
        </w:rPr>
        <w:t>+成果</w:t>
      </w:r>
      <w:r>
        <w:rPr>
          <w:rFonts w:hint="eastAsia" w:ascii="Times New Roman" w:hAnsi="Times New Roman" w:cs="Times New Roman"/>
          <w:color w:val="auto"/>
          <w:szCs w:val="32"/>
          <w:lang w:eastAsia="zh-CN"/>
        </w:rPr>
        <w:t>转化</w:t>
      </w:r>
      <w:r>
        <w:rPr>
          <w:rFonts w:hint="default" w:ascii="Times New Roman" w:hAnsi="Times New Roman" w:cs="Times New Roman"/>
          <w:color w:val="auto"/>
          <w:szCs w:val="32"/>
        </w:rPr>
        <w:t>+人才支撑</w:t>
      </w:r>
      <w:r>
        <w:rPr>
          <w:rFonts w:hint="eastAsia" w:ascii="Times New Roman" w:hAnsi="Times New Roman" w:cs="Times New Roman"/>
          <w:color w:val="auto"/>
          <w:szCs w:val="32"/>
          <w:lang w:val="en-US" w:eastAsia="zh-CN"/>
        </w:rPr>
        <w:t>+标准建设</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全过程</w:t>
      </w:r>
      <w:r>
        <w:rPr>
          <w:rFonts w:hint="eastAsia" w:ascii="Times New Roman" w:hAnsi="Times New Roman" w:cs="Times New Roman"/>
          <w:color w:val="auto"/>
          <w:szCs w:val="32"/>
          <w:lang w:eastAsia="zh-CN"/>
        </w:rPr>
        <w:t>产业</w:t>
      </w:r>
      <w:r>
        <w:rPr>
          <w:rFonts w:hint="default" w:ascii="Times New Roman" w:hAnsi="Times New Roman" w:cs="Times New Roman"/>
          <w:color w:val="auto"/>
          <w:szCs w:val="32"/>
        </w:rPr>
        <w:t>链，</w:t>
      </w:r>
      <w:r>
        <w:rPr>
          <w:rFonts w:hint="eastAsia" w:ascii="Times New Roman" w:hAnsi="Times New Roman" w:cs="Times New Roman"/>
          <w:color w:val="auto"/>
          <w:szCs w:val="32"/>
          <w:lang w:eastAsia="zh-CN"/>
        </w:rPr>
        <w:t>打造促进经济</w:t>
      </w:r>
      <w:r>
        <w:rPr>
          <w:rFonts w:hint="default"/>
        </w:rPr>
        <w:t>金融</w:t>
      </w:r>
      <w:r>
        <w:rPr>
          <w:rFonts w:hint="eastAsia"/>
          <w:lang w:eastAsia="zh-CN"/>
        </w:rPr>
        <w:t>良性循环、推动</w:t>
      </w:r>
      <w:r>
        <w:rPr>
          <w:rFonts w:hint="default"/>
        </w:rPr>
        <w:t>高质量发展的“新引擎”。</w:t>
      </w:r>
    </w:p>
    <w:p>
      <w:pPr>
        <w:pStyle w:val="4"/>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eastAsia="楷体_GB2312" w:cs="Times New Roman"/>
          <w:color w:val="auto"/>
        </w:rPr>
      </w:pPr>
      <w:bookmarkStart w:id="13" w:name="_Toc30561"/>
      <w:bookmarkStart w:id="14" w:name="_Toc563"/>
      <w:bookmarkStart w:id="15" w:name="_Toc2047430807"/>
      <w:r>
        <w:rPr>
          <w:rFonts w:hint="default" w:ascii="Times New Roman" w:hAnsi="Times New Roman" w:eastAsia="楷体_GB2312" w:cs="Times New Roman"/>
          <w:color w:val="auto"/>
        </w:rPr>
        <w:t>（二）基本原则</w:t>
      </w:r>
      <w:bookmarkEnd w:id="13"/>
      <w:bookmarkEnd w:id="14"/>
      <w:bookmarkEnd w:id="15"/>
    </w:p>
    <w:p>
      <w:pPr>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cs="Times New Roman"/>
          <w:color w:val="auto"/>
          <w:szCs w:val="32"/>
        </w:rPr>
      </w:pPr>
      <w:r>
        <w:rPr>
          <w:rFonts w:hint="eastAsia" w:cs="仿宋_GB2312"/>
          <w:b/>
          <w:bCs/>
          <w:color w:val="auto"/>
          <w:szCs w:val="32"/>
          <w:lang w:val="en-US" w:eastAsia="zh-CN"/>
        </w:rPr>
        <w:t>——</w:t>
      </w:r>
      <w:r>
        <w:rPr>
          <w:rFonts w:hint="eastAsia" w:ascii="仿宋_GB2312" w:hAnsi="仿宋_GB2312" w:cs="仿宋_GB2312"/>
          <w:b/>
          <w:bCs/>
          <w:color w:val="auto"/>
          <w:szCs w:val="32"/>
        </w:rPr>
        <w:t>坚持市场主导与政府引导相结合</w:t>
      </w:r>
      <w:r>
        <w:rPr>
          <w:rFonts w:hint="eastAsia" w:ascii="仿宋_GB2312" w:hAnsi="仿宋_GB2312" w:cs="仿宋_GB2312"/>
          <w:b/>
          <w:bCs/>
          <w:color w:val="auto"/>
          <w:szCs w:val="32"/>
          <w:lang w:eastAsia="zh-CN"/>
        </w:rPr>
        <w:t>。</w:t>
      </w:r>
      <w:r>
        <w:rPr>
          <w:rFonts w:hint="default" w:ascii="Times New Roman" w:hAnsi="Times New Roman" w:cs="Times New Roman"/>
          <w:color w:val="auto"/>
          <w:szCs w:val="32"/>
        </w:rPr>
        <w:t>充分发挥市场在金融科技发展中的基础性作用，激发</w:t>
      </w:r>
      <w:r>
        <w:rPr>
          <w:rFonts w:hint="eastAsia" w:ascii="Times New Roman" w:hAnsi="Times New Roman" w:cs="Times New Roman"/>
          <w:color w:val="auto"/>
          <w:szCs w:val="32"/>
          <w:lang w:eastAsia="zh-CN"/>
        </w:rPr>
        <w:t>各类</w:t>
      </w:r>
      <w:r>
        <w:rPr>
          <w:rFonts w:hint="default" w:ascii="Times New Roman" w:hAnsi="Times New Roman" w:cs="Times New Roman"/>
          <w:color w:val="auto"/>
          <w:szCs w:val="32"/>
        </w:rPr>
        <w:t>市场主体</w:t>
      </w:r>
      <w:r>
        <w:rPr>
          <w:rFonts w:hint="eastAsia" w:ascii="Times New Roman" w:hAnsi="Times New Roman" w:cs="Times New Roman"/>
          <w:color w:val="auto"/>
          <w:szCs w:val="32"/>
          <w:lang w:eastAsia="zh-CN"/>
        </w:rPr>
        <w:t>活力</w:t>
      </w:r>
      <w:r>
        <w:rPr>
          <w:rFonts w:hint="default" w:ascii="Times New Roman" w:hAnsi="Times New Roman" w:cs="Times New Roman"/>
          <w:color w:val="auto"/>
          <w:szCs w:val="32"/>
        </w:rPr>
        <w:t>，</w:t>
      </w:r>
      <w:r>
        <w:rPr>
          <w:rFonts w:hint="eastAsia" w:ascii="Times New Roman" w:hAnsi="Times New Roman" w:cs="Times New Roman"/>
          <w:color w:val="auto"/>
          <w:szCs w:val="32"/>
          <w:lang w:eastAsia="zh-CN"/>
        </w:rPr>
        <w:t>科学厘清</w:t>
      </w:r>
      <w:r>
        <w:rPr>
          <w:rFonts w:hint="default" w:ascii="Times New Roman" w:hAnsi="Times New Roman" w:cs="Times New Roman"/>
          <w:color w:val="auto"/>
          <w:szCs w:val="32"/>
        </w:rPr>
        <w:t>政府与市场</w:t>
      </w:r>
      <w:r>
        <w:rPr>
          <w:rFonts w:hint="eastAsia" w:ascii="Times New Roman" w:hAnsi="Times New Roman" w:cs="Times New Roman"/>
          <w:color w:val="auto"/>
          <w:szCs w:val="32"/>
          <w:lang w:eastAsia="zh-CN"/>
        </w:rPr>
        <w:t>的</w:t>
      </w:r>
      <w:r>
        <w:rPr>
          <w:rFonts w:hint="default" w:ascii="Times New Roman" w:hAnsi="Times New Roman" w:cs="Times New Roman"/>
          <w:color w:val="auto"/>
          <w:szCs w:val="32"/>
        </w:rPr>
        <w:t>边界，</w:t>
      </w:r>
      <w:r>
        <w:rPr>
          <w:rFonts w:hint="eastAsia" w:ascii="Times New Roman" w:hAnsi="Times New Roman" w:cs="Times New Roman"/>
          <w:color w:val="auto"/>
          <w:szCs w:val="32"/>
          <w:lang w:eastAsia="zh-CN"/>
        </w:rPr>
        <w:t>把市场主导资源配置与</w:t>
      </w:r>
      <w:r>
        <w:rPr>
          <w:rFonts w:hint="default" w:ascii="Times New Roman" w:hAnsi="Times New Roman" w:cs="Times New Roman"/>
          <w:color w:val="auto"/>
          <w:szCs w:val="32"/>
        </w:rPr>
        <w:t>政府</w:t>
      </w:r>
      <w:r>
        <w:rPr>
          <w:rFonts w:hint="eastAsia" w:ascii="Times New Roman" w:hAnsi="Times New Roman" w:cs="Times New Roman"/>
          <w:color w:val="auto"/>
          <w:szCs w:val="32"/>
          <w:lang w:eastAsia="zh-CN"/>
        </w:rPr>
        <w:t>引导</w:t>
      </w:r>
      <w:r>
        <w:rPr>
          <w:rFonts w:hint="default" w:ascii="Times New Roman" w:hAnsi="Times New Roman" w:cs="Times New Roman"/>
          <w:color w:val="auto"/>
          <w:szCs w:val="32"/>
        </w:rPr>
        <w:t>监督</w:t>
      </w:r>
      <w:r>
        <w:rPr>
          <w:rFonts w:hint="eastAsia" w:ascii="Times New Roman" w:hAnsi="Times New Roman" w:cs="Times New Roman"/>
          <w:color w:val="auto"/>
          <w:szCs w:val="32"/>
          <w:lang w:eastAsia="zh-CN"/>
        </w:rPr>
        <w:t>相结合，共同</w:t>
      </w:r>
      <w:r>
        <w:rPr>
          <w:rFonts w:hint="default" w:ascii="Times New Roman" w:hAnsi="Times New Roman" w:cs="Times New Roman"/>
          <w:color w:val="auto"/>
          <w:szCs w:val="32"/>
        </w:rPr>
        <w:t>塑造良好生态，</w:t>
      </w:r>
      <w:r>
        <w:rPr>
          <w:rFonts w:hint="eastAsia" w:ascii="Times New Roman" w:hAnsi="Times New Roman" w:cs="Times New Roman"/>
          <w:color w:val="auto"/>
          <w:szCs w:val="32"/>
          <w:lang w:eastAsia="zh-CN"/>
        </w:rPr>
        <w:t>构建</w:t>
      </w:r>
      <w:r>
        <w:rPr>
          <w:rFonts w:hint="default" w:ascii="Times New Roman" w:hAnsi="Times New Roman" w:cs="Times New Roman"/>
          <w:color w:val="auto"/>
          <w:szCs w:val="32"/>
        </w:rPr>
        <w:t>金融科技</w:t>
      </w:r>
      <w:r>
        <w:rPr>
          <w:rFonts w:hint="eastAsia" w:ascii="Times New Roman" w:hAnsi="Times New Roman" w:cs="Times New Roman"/>
          <w:color w:val="auto"/>
          <w:szCs w:val="32"/>
          <w:lang w:eastAsia="zh-CN"/>
        </w:rPr>
        <w:t>良性竞争</w:t>
      </w:r>
      <w:r>
        <w:rPr>
          <w:rFonts w:hint="default" w:ascii="Times New Roman" w:hAnsi="Times New Roman" w:cs="Times New Roman"/>
          <w:color w:val="auto"/>
          <w:szCs w:val="32"/>
        </w:rPr>
        <w:t>发展格局。</w:t>
      </w:r>
    </w:p>
    <w:p>
      <w:pPr>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cs="Times New Roman"/>
          <w:color w:val="auto"/>
          <w:szCs w:val="32"/>
        </w:rPr>
      </w:pPr>
      <w:r>
        <w:rPr>
          <w:rFonts w:hint="eastAsia" w:cs="仿宋_GB2312"/>
          <w:b/>
          <w:bCs/>
          <w:color w:val="auto"/>
          <w:szCs w:val="32"/>
          <w:lang w:val="en-US" w:eastAsia="zh-CN"/>
        </w:rPr>
        <w:t>——</w:t>
      </w:r>
      <w:r>
        <w:rPr>
          <w:rFonts w:hint="eastAsia" w:ascii="仿宋_GB2312" w:hAnsi="仿宋_GB2312" w:cs="仿宋_GB2312"/>
          <w:b/>
          <w:bCs/>
          <w:color w:val="auto"/>
          <w:szCs w:val="32"/>
        </w:rPr>
        <w:t>坚持金融发展与科技进步相协调</w:t>
      </w:r>
      <w:r>
        <w:rPr>
          <w:rFonts w:hint="eastAsia" w:ascii="仿宋_GB2312" w:hAnsi="仿宋_GB2312" w:cs="仿宋_GB2312"/>
          <w:b/>
          <w:bCs/>
          <w:color w:val="auto"/>
          <w:szCs w:val="32"/>
          <w:lang w:eastAsia="zh-CN"/>
        </w:rPr>
        <w:t>。</w:t>
      </w:r>
      <w:r>
        <w:rPr>
          <w:rFonts w:hint="default" w:ascii="Times New Roman" w:hAnsi="Times New Roman" w:cs="Times New Roman"/>
          <w:color w:val="auto"/>
          <w:szCs w:val="32"/>
        </w:rPr>
        <w:t>鼓励人工智能、大数据、云计算、区块链等领域技术创新，鼓励芯片、算法等基础研发攻关，</w:t>
      </w:r>
      <w:r>
        <w:rPr>
          <w:rFonts w:hint="eastAsia" w:ascii="Times New Roman" w:hAnsi="Times New Roman" w:cs="Times New Roman"/>
          <w:color w:val="auto"/>
          <w:szCs w:val="32"/>
          <w:lang w:eastAsia="zh-CN"/>
        </w:rPr>
        <w:t>支持更多先进的</w:t>
      </w:r>
      <w:r>
        <w:rPr>
          <w:rFonts w:hint="default" w:ascii="Times New Roman" w:hAnsi="Times New Roman" w:cs="Times New Roman"/>
          <w:color w:val="auto"/>
          <w:szCs w:val="32"/>
        </w:rPr>
        <w:t>科技创新成果应用于金融领域，加快形成科技赋能金融、金融服务科技的协同模式。</w:t>
      </w:r>
    </w:p>
    <w:p>
      <w:pPr>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cs="Times New Roman"/>
          <w:color w:val="auto"/>
          <w:szCs w:val="32"/>
        </w:rPr>
      </w:pPr>
      <w:r>
        <w:rPr>
          <w:rFonts w:hint="eastAsia" w:cs="仿宋_GB2312"/>
          <w:b/>
          <w:bCs/>
          <w:color w:val="auto"/>
          <w:szCs w:val="32"/>
          <w:lang w:val="en-US" w:eastAsia="zh-CN"/>
        </w:rPr>
        <w:t>——</w:t>
      </w:r>
      <w:r>
        <w:rPr>
          <w:rFonts w:hint="eastAsia" w:ascii="仿宋_GB2312" w:hAnsi="仿宋_GB2312" w:cs="仿宋_GB2312"/>
          <w:b/>
          <w:bCs/>
          <w:color w:val="auto"/>
          <w:szCs w:val="32"/>
        </w:rPr>
        <w:t>坚持生态建设与普惠开放相促进</w:t>
      </w:r>
      <w:r>
        <w:rPr>
          <w:rFonts w:hint="eastAsia" w:ascii="仿宋_GB2312" w:hAnsi="仿宋_GB2312" w:cs="仿宋_GB2312"/>
          <w:b/>
          <w:bCs/>
          <w:color w:val="auto"/>
          <w:szCs w:val="32"/>
          <w:lang w:eastAsia="zh-CN"/>
        </w:rPr>
        <w:t>。</w:t>
      </w:r>
      <w:r>
        <w:rPr>
          <w:rFonts w:hint="default" w:ascii="Times New Roman" w:hAnsi="Times New Roman" w:cs="Times New Roman"/>
          <w:color w:val="auto"/>
          <w:szCs w:val="32"/>
        </w:rPr>
        <w:t>加强金融科技产业生态、创新生态</w:t>
      </w:r>
      <w:r>
        <w:rPr>
          <w:rFonts w:hint="eastAsia" w:ascii="Times New Roman" w:hAnsi="Times New Roman" w:cs="Times New Roman"/>
          <w:color w:val="auto"/>
          <w:szCs w:val="32"/>
          <w:lang w:eastAsia="zh-CN"/>
        </w:rPr>
        <w:t>、开源生态</w:t>
      </w:r>
      <w:r>
        <w:rPr>
          <w:rFonts w:hint="default" w:ascii="Times New Roman" w:hAnsi="Times New Roman" w:cs="Times New Roman"/>
          <w:color w:val="auto"/>
          <w:szCs w:val="32"/>
        </w:rPr>
        <w:t>建设，</w:t>
      </w:r>
      <w:r>
        <w:rPr>
          <w:rFonts w:hint="eastAsia" w:ascii="Times New Roman" w:hAnsi="Times New Roman" w:cs="Times New Roman"/>
          <w:color w:val="auto"/>
          <w:szCs w:val="32"/>
          <w:lang w:eastAsia="zh-CN"/>
        </w:rPr>
        <w:t>巩固竞争优势，</w:t>
      </w:r>
      <w:r>
        <w:rPr>
          <w:rFonts w:hint="default" w:ascii="Times New Roman" w:hAnsi="Times New Roman" w:cs="Times New Roman"/>
          <w:color w:val="auto"/>
          <w:szCs w:val="32"/>
        </w:rPr>
        <w:t>补足发展短板，着力解决</w:t>
      </w:r>
      <w:r>
        <w:rPr>
          <w:rFonts w:hint="eastAsia" w:ascii="Times New Roman" w:hAnsi="Times New Roman" w:cs="Times New Roman"/>
          <w:color w:val="auto"/>
          <w:szCs w:val="32"/>
          <w:lang w:eastAsia="zh-CN"/>
        </w:rPr>
        <w:t>行业发展面临的</w:t>
      </w:r>
      <w:r>
        <w:rPr>
          <w:rFonts w:hint="default" w:ascii="Times New Roman" w:hAnsi="Times New Roman" w:cs="Times New Roman"/>
          <w:color w:val="auto"/>
          <w:szCs w:val="32"/>
        </w:rPr>
        <w:t>共性问题。支持金融科技向民生普惠领域发力，鼓励为共同富裕</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乡村振兴</w:t>
      </w:r>
      <w:r>
        <w:rPr>
          <w:rFonts w:hint="eastAsia" w:ascii="Times New Roman" w:hAnsi="Times New Roman" w:cs="Times New Roman"/>
          <w:color w:val="auto"/>
          <w:szCs w:val="32"/>
          <w:lang w:eastAsia="zh-CN"/>
        </w:rPr>
        <w:t>等</w:t>
      </w:r>
      <w:r>
        <w:rPr>
          <w:rFonts w:hint="default" w:ascii="Times New Roman" w:hAnsi="Times New Roman" w:cs="Times New Roman"/>
          <w:color w:val="auto"/>
          <w:szCs w:val="32"/>
        </w:rPr>
        <w:t>提供解决方案</w:t>
      </w:r>
      <w:r>
        <w:rPr>
          <w:rFonts w:hint="eastAsia" w:ascii="Times New Roman" w:hAnsi="Times New Roman" w:cs="Times New Roman"/>
          <w:color w:val="auto"/>
          <w:szCs w:val="32"/>
          <w:lang w:eastAsia="zh-CN"/>
        </w:rPr>
        <w:t>。推动</w:t>
      </w:r>
      <w:r>
        <w:rPr>
          <w:rFonts w:hint="default" w:ascii="Times New Roman" w:hAnsi="Times New Roman" w:cs="Times New Roman"/>
          <w:color w:val="auto"/>
          <w:szCs w:val="32"/>
        </w:rPr>
        <w:t>金融科技</w:t>
      </w:r>
      <w:r>
        <w:rPr>
          <w:rFonts w:hint="eastAsia" w:ascii="Times New Roman" w:hAnsi="Times New Roman" w:cs="Times New Roman"/>
          <w:color w:val="auto"/>
          <w:szCs w:val="32"/>
          <w:lang w:eastAsia="zh-CN"/>
        </w:rPr>
        <w:t>有序</w:t>
      </w:r>
      <w:r>
        <w:rPr>
          <w:rFonts w:hint="default" w:ascii="Times New Roman" w:hAnsi="Times New Roman" w:cs="Times New Roman"/>
          <w:color w:val="auto"/>
          <w:szCs w:val="32"/>
        </w:rPr>
        <w:t>扩大开放，支持符合条件的</w:t>
      </w:r>
      <w:r>
        <w:rPr>
          <w:rFonts w:hint="eastAsia" w:ascii="Times New Roman" w:hAnsi="Times New Roman" w:cs="Times New Roman"/>
          <w:color w:val="auto"/>
          <w:szCs w:val="32"/>
          <w:lang w:eastAsia="zh-CN"/>
        </w:rPr>
        <w:t>金融科技类企业“</w:t>
      </w:r>
      <w:r>
        <w:rPr>
          <w:rFonts w:hint="default" w:ascii="Times New Roman" w:hAnsi="Times New Roman" w:cs="Times New Roman"/>
          <w:color w:val="auto"/>
          <w:szCs w:val="32"/>
        </w:rPr>
        <w:t>走出去</w:t>
      </w:r>
      <w:r>
        <w:rPr>
          <w:rFonts w:hint="eastAsia" w:ascii="Times New Roman" w:hAnsi="Times New Roman" w:cs="Times New Roman"/>
          <w:color w:val="auto"/>
          <w:szCs w:val="32"/>
          <w:lang w:eastAsia="zh-CN"/>
        </w:rPr>
        <w:t>”，促进</w:t>
      </w:r>
      <w:r>
        <w:rPr>
          <w:rFonts w:hint="default" w:ascii="Times New Roman" w:hAnsi="Times New Roman" w:cs="Times New Roman"/>
          <w:color w:val="auto"/>
          <w:szCs w:val="32"/>
        </w:rPr>
        <w:t>境内外</w:t>
      </w:r>
      <w:r>
        <w:rPr>
          <w:rFonts w:hint="eastAsia" w:ascii="Times New Roman" w:hAnsi="Times New Roman" w:cs="Times New Roman"/>
          <w:color w:val="auto"/>
          <w:szCs w:val="32"/>
          <w:lang w:eastAsia="zh-CN"/>
        </w:rPr>
        <w:t>金融科技类企业</w:t>
      </w:r>
      <w:r>
        <w:rPr>
          <w:rFonts w:hint="default" w:ascii="Times New Roman" w:hAnsi="Times New Roman" w:cs="Times New Roman"/>
          <w:color w:val="auto"/>
          <w:szCs w:val="32"/>
        </w:rPr>
        <w:t>与人才双向流动。</w:t>
      </w:r>
    </w:p>
    <w:p>
      <w:pPr>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cs="Times New Roman"/>
          <w:color w:val="auto"/>
          <w:szCs w:val="32"/>
        </w:rPr>
      </w:pPr>
      <w:r>
        <w:rPr>
          <w:rFonts w:hint="eastAsia" w:cs="仿宋_GB2312"/>
          <w:b/>
          <w:bCs/>
          <w:color w:val="auto"/>
          <w:szCs w:val="32"/>
          <w:lang w:val="en-US" w:eastAsia="zh-CN"/>
        </w:rPr>
        <w:t>——</w:t>
      </w:r>
      <w:r>
        <w:rPr>
          <w:rFonts w:hint="eastAsia" w:ascii="仿宋_GB2312" w:hAnsi="仿宋_GB2312" w:cs="仿宋_GB2312"/>
          <w:b/>
          <w:bCs/>
          <w:color w:val="auto"/>
          <w:szCs w:val="32"/>
        </w:rPr>
        <w:t>坚持守正创新与防范风险相兼顾</w:t>
      </w:r>
      <w:r>
        <w:rPr>
          <w:rFonts w:hint="eastAsia" w:ascii="仿宋_GB2312" w:hAnsi="仿宋_GB2312" w:cs="仿宋_GB2312"/>
          <w:b/>
          <w:bCs/>
          <w:color w:val="auto"/>
          <w:szCs w:val="32"/>
          <w:lang w:eastAsia="zh-CN"/>
        </w:rPr>
        <w:t>。</w:t>
      </w:r>
      <w:r>
        <w:rPr>
          <w:rFonts w:hint="default" w:ascii="Times New Roman" w:hAnsi="Times New Roman" w:cs="Times New Roman"/>
          <w:color w:val="auto"/>
          <w:szCs w:val="32"/>
        </w:rPr>
        <w:t>完善</w:t>
      </w:r>
      <w:r>
        <w:rPr>
          <w:rFonts w:hint="eastAsia" w:ascii="Times New Roman" w:hAnsi="Times New Roman" w:cs="Times New Roman"/>
          <w:color w:val="auto"/>
          <w:szCs w:val="32"/>
          <w:lang w:eastAsia="zh-CN"/>
        </w:rPr>
        <w:t>与</w:t>
      </w:r>
      <w:r>
        <w:rPr>
          <w:rFonts w:hint="default" w:ascii="Times New Roman" w:hAnsi="Times New Roman" w:cs="Times New Roman"/>
          <w:color w:val="auto"/>
          <w:szCs w:val="32"/>
        </w:rPr>
        <w:t>金融科技创新</w:t>
      </w:r>
      <w:r>
        <w:rPr>
          <w:rFonts w:hint="eastAsia" w:ascii="Times New Roman" w:hAnsi="Times New Roman" w:cs="Times New Roman"/>
          <w:color w:val="auto"/>
          <w:szCs w:val="32"/>
          <w:lang w:eastAsia="zh-CN"/>
        </w:rPr>
        <w:t>相配套的</w:t>
      </w:r>
      <w:r>
        <w:rPr>
          <w:rFonts w:hint="default" w:ascii="Times New Roman" w:hAnsi="Times New Roman" w:cs="Times New Roman"/>
          <w:color w:val="auto"/>
          <w:szCs w:val="32"/>
        </w:rPr>
        <w:t>制度体系，时刻把握金融科技合规要求与安全边界，</w:t>
      </w:r>
      <w:r>
        <w:rPr>
          <w:rFonts w:hint="eastAsia" w:ascii="Times New Roman" w:hAnsi="Times New Roman" w:cs="Times New Roman"/>
          <w:color w:val="auto"/>
          <w:szCs w:val="32"/>
          <w:lang w:eastAsia="zh-CN"/>
        </w:rPr>
        <w:t>支持</w:t>
      </w:r>
      <w:r>
        <w:rPr>
          <w:rFonts w:hint="default" w:ascii="Times New Roman" w:hAnsi="Times New Roman" w:cs="Times New Roman"/>
          <w:color w:val="auto"/>
          <w:szCs w:val="32"/>
        </w:rPr>
        <w:t>金融科技</w:t>
      </w:r>
      <w:r>
        <w:rPr>
          <w:rFonts w:hint="eastAsia" w:ascii="Times New Roman" w:hAnsi="Times New Roman" w:cs="Times New Roman"/>
          <w:color w:val="auto"/>
          <w:szCs w:val="32"/>
          <w:lang w:eastAsia="zh-CN"/>
        </w:rPr>
        <w:t>守正创新、</w:t>
      </w:r>
      <w:r>
        <w:rPr>
          <w:rFonts w:hint="default" w:ascii="Times New Roman" w:hAnsi="Times New Roman" w:cs="Times New Roman"/>
          <w:color w:val="auto"/>
          <w:szCs w:val="32"/>
        </w:rPr>
        <w:t>有序迭代</w:t>
      </w:r>
      <w:r>
        <w:rPr>
          <w:rFonts w:hint="eastAsia" w:ascii="Times New Roman" w:hAnsi="Times New Roman" w:cs="Times New Roman"/>
          <w:color w:val="auto"/>
          <w:szCs w:val="32"/>
          <w:lang w:eastAsia="zh-CN"/>
        </w:rPr>
        <w:t>。深化金融科技</w:t>
      </w:r>
      <w:r>
        <w:rPr>
          <w:rFonts w:hint="default" w:ascii="Times New Roman" w:hAnsi="Times New Roman" w:cs="Times New Roman"/>
          <w:color w:val="auto"/>
          <w:szCs w:val="32"/>
        </w:rPr>
        <w:t>创新监管试点，</w:t>
      </w:r>
      <w:r>
        <w:rPr>
          <w:rFonts w:hint="eastAsia" w:ascii="Times New Roman" w:hAnsi="Times New Roman" w:cs="Times New Roman"/>
          <w:color w:val="auto"/>
          <w:szCs w:val="32"/>
          <w:lang w:eastAsia="zh-CN"/>
        </w:rPr>
        <w:t>建立健全伦理体系、</w:t>
      </w:r>
      <w:r>
        <w:rPr>
          <w:rFonts w:hint="default" w:ascii="Times New Roman" w:hAnsi="Times New Roman" w:cs="Times New Roman"/>
          <w:color w:val="auto"/>
          <w:szCs w:val="32"/>
        </w:rPr>
        <w:t>合规体系</w:t>
      </w:r>
      <w:r>
        <w:rPr>
          <w:rFonts w:hint="eastAsia" w:ascii="Times New Roman" w:hAnsi="Times New Roman" w:cs="Times New Roman"/>
          <w:color w:val="auto"/>
          <w:szCs w:val="32"/>
          <w:lang w:eastAsia="zh-CN"/>
        </w:rPr>
        <w:t>和</w:t>
      </w:r>
      <w:r>
        <w:rPr>
          <w:rFonts w:hint="default" w:ascii="Times New Roman" w:hAnsi="Times New Roman" w:cs="Times New Roman"/>
          <w:color w:val="auto"/>
          <w:szCs w:val="32"/>
        </w:rPr>
        <w:t>监管体系，</w:t>
      </w:r>
      <w:r>
        <w:rPr>
          <w:rFonts w:hint="eastAsia" w:ascii="Times New Roman" w:hAnsi="Times New Roman" w:cs="Times New Roman"/>
          <w:color w:val="auto"/>
          <w:szCs w:val="32"/>
          <w:lang w:eastAsia="zh-CN"/>
        </w:rPr>
        <w:t>牢牢</w:t>
      </w:r>
      <w:r>
        <w:rPr>
          <w:rFonts w:hint="default" w:ascii="Times New Roman" w:hAnsi="Times New Roman" w:cs="Times New Roman"/>
          <w:color w:val="auto"/>
          <w:szCs w:val="32"/>
        </w:rPr>
        <w:t>守住不发生系统性区域性</w:t>
      </w:r>
      <w:r>
        <w:rPr>
          <w:rFonts w:hint="eastAsia" w:ascii="Times New Roman" w:hAnsi="Times New Roman" w:cs="Times New Roman"/>
          <w:color w:val="auto"/>
          <w:szCs w:val="32"/>
          <w:lang w:eastAsia="zh-CN"/>
        </w:rPr>
        <w:t>金融</w:t>
      </w:r>
      <w:r>
        <w:rPr>
          <w:rFonts w:hint="default" w:ascii="Times New Roman" w:hAnsi="Times New Roman" w:cs="Times New Roman"/>
          <w:color w:val="auto"/>
          <w:szCs w:val="32"/>
        </w:rPr>
        <w:t>风险底线，</w:t>
      </w:r>
      <w:r>
        <w:rPr>
          <w:rFonts w:hint="eastAsia" w:ascii="Times New Roman" w:hAnsi="Times New Roman" w:cs="Times New Roman"/>
          <w:color w:val="auto"/>
          <w:szCs w:val="32"/>
          <w:lang w:eastAsia="zh-CN"/>
        </w:rPr>
        <w:t>实现可持续</w:t>
      </w:r>
      <w:r>
        <w:rPr>
          <w:rFonts w:hint="default" w:ascii="Times New Roman" w:hAnsi="Times New Roman" w:cs="Times New Roman"/>
          <w:color w:val="auto"/>
          <w:szCs w:val="32"/>
        </w:rPr>
        <w:t>健康发展。</w:t>
      </w:r>
    </w:p>
    <w:p>
      <w:pPr>
        <w:pStyle w:val="4"/>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eastAsia="楷体_GB2312" w:cs="Times New Roman"/>
          <w:color w:val="auto"/>
        </w:rPr>
      </w:pPr>
      <w:bookmarkStart w:id="16" w:name="_Toc998308484"/>
      <w:bookmarkStart w:id="17" w:name="_Toc23155"/>
      <w:bookmarkStart w:id="18" w:name="_Toc25296"/>
      <w:r>
        <w:rPr>
          <w:rFonts w:hint="default" w:ascii="Times New Roman" w:hAnsi="Times New Roman" w:eastAsia="楷体_GB2312" w:cs="Times New Roman"/>
          <w:color w:val="auto"/>
        </w:rPr>
        <w:t>（三）发展目标</w:t>
      </w:r>
      <w:bookmarkEnd w:id="16"/>
      <w:bookmarkEnd w:id="17"/>
      <w:bookmarkEnd w:id="18"/>
    </w:p>
    <w:p>
      <w:pPr>
        <w:pStyle w:val="2"/>
        <w:pageBreakBefore w:val="0"/>
        <w:widowControl w:val="0"/>
        <w:kinsoku/>
        <w:wordWrap/>
        <w:overflowPunct/>
        <w:topLinePunct w:val="0"/>
        <w:bidi w:val="0"/>
        <w:adjustRightInd/>
        <w:snapToGrid/>
        <w:spacing w:line="560" w:lineRule="exact"/>
        <w:rPr>
          <w:rFonts w:hint="default" w:ascii="Times New Roman" w:hAnsi="Times New Roman" w:cs="Times New Roman"/>
          <w:color w:val="auto"/>
          <w:szCs w:val="32"/>
        </w:rPr>
      </w:pPr>
      <w:r>
        <w:rPr>
          <w:rFonts w:hint="eastAsia" w:ascii="仿宋_GB2312" w:hAnsi="仿宋_GB2312" w:eastAsia="仿宋_GB2312" w:cs="仿宋_GB2312"/>
          <w:color w:val="auto"/>
          <w:szCs w:val="32"/>
        </w:rPr>
        <w:t>力争</w:t>
      </w:r>
      <w:r>
        <w:rPr>
          <w:rFonts w:hint="eastAsia" w:cs="仿宋_GB2312"/>
          <w:color w:val="auto"/>
          <w:szCs w:val="32"/>
          <w:lang w:val="en-US" w:eastAsia="zh-CN"/>
        </w:rPr>
        <w:t>到2025年</w:t>
      </w:r>
      <w:r>
        <w:rPr>
          <w:rFonts w:hint="eastAsia" w:ascii="仿宋_GB2312" w:hAnsi="仿宋_GB2312" w:eastAsia="仿宋_GB2312" w:cs="仿宋_GB2312"/>
          <w:color w:val="auto"/>
          <w:szCs w:val="32"/>
        </w:rPr>
        <w:t>，</w:t>
      </w:r>
      <w:r>
        <w:rPr>
          <w:rFonts w:hint="eastAsia" w:ascii="仿宋_GB2312" w:hAnsi="仿宋_GB2312" w:eastAsia="仿宋_GB2312" w:cs="仿宋_GB2312"/>
          <w:sz w:val="32"/>
          <w:szCs w:val="32"/>
          <w:lang w:eastAsia="zh-CN"/>
        </w:rPr>
        <w:t>进一步提升</w:t>
      </w:r>
      <w:r>
        <w:rPr>
          <w:rFonts w:hint="eastAsia" w:ascii="仿宋_GB2312" w:hAnsi="仿宋_GB2312" w:eastAsia="仿宋_GB2312" w:cs="仿宋_GB2312"/>
          <w:sz w:val="32"/>
          <w:szCs w:val="32"/>
        </w:rPr>
        <w:t>金融科技产业生态环境，</w:t>
      </w:r>
      <w:r>
        <w:rPr>
          <w:rFonts w:ascii="Times New Roman" w:hAnsi="Times New Roman" w:eastAsia="仿宋_GB2312" w:cs="Times New Roman"/>
          <w:sz w:val="32"/>
          <w:szCs w:val="32"/>
        </w:rPr>
        <w:t>集聚一批金融科技创新项目、创业团队、基础平台和优秀人才，培育一批金融科技龙头企业和行业标杆，着力突破一批金融科技前沿关键技术，推广应用一批高质量金融科技创新成果，促进形成一批金融科技业务标准</w:t>
      </w:r>
      <w:r>
        <w:rPr>
          <w:rFonts w:hint="eastAsia" w:ascii="Times New Roman" w:hAnsi="Times New Roman" w:cs="Times New Roman"/>
          <w:sz w:val="32"/>
          <w:szCs w:val="32"/>
          <w:lang w:eastAsia="zh-CN"/>
        </w:rPr>
        <w:t>，</w:t>
      </w:r>
      <w:r>
        <w:rPr>
          <w:rFonts w:hint="default" w:ascii="Times New Roman" w:hAnsi="Times New Roman" w:cs="Times New Roman"/>
          <w:color w:val="auto"/>
          <w:szCs w:val="32"/>
        </w:rPr>
        <w:t>将深圳建设成为具有国际影响力的金融科技中心城市。</w:t>
      </w:r>
    </w:p>
    <w:p>
      <w:pPr>
        <w:pageBreakBefore w:val="0"/>
        <w:widowControl w:val="0"/>
        <w:kinsoku/>
        <w:wordWrap/>
        <w:overflowPunct/>
        <w:topLinePunct w:val="0"/>
        <w:bidi w:val="0"/>
        <w:adjustRightInd/>
        <w:snapToGrid/>
        <w:spacing w:line="560" w:lineRule="exact"/>
        <w:ind w:firstLine="643" w:firstLineChars="200"/>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lang w:val="en-US" w:eastAsia="zh-CN"/>
        </w:rPr>
        <w:t>——</w:t>
      </w:r>
      <w:r>
        <w:rPr>
          <w:rFonts w:hint="eastAsia" w:ascii="仿宋_GB2312" w:hAnsi="仿宋_GB2312" w:eastAsia="仿宋_GB2312" w:cs="仿宋_GB2312"/>
          <w:b/>
          <w:bCs/>
          <w:color w:val="auto"/>
          <w:szCs w:val="32"/>
        </w:rPr>
        <w:t>金融科技集聚效应不断显现</w:t>
      </w:r>
      <w:r>
        <w:rPr>
          <w:rFonts w:hint="eastAsia" w:ascii="仿宋_GB2312" w:hAnsi="仿宋_GB2312" w:eastAsia="仿宋_GB2312" w:cs="仿宋_GB2312"/>
          <w:b/>
          <w:bCs/>
          <w:color w:val="auto"/>
          <w:szCs w:val="32"/>
          <w:lang w:eastAsia="zh-CN"/>
        </w:rPr>
        <w:t>。</w:t>
      </w:r>
      <w:r>
        <w:rPr>
          <w:rFonts w:hint="eastAsia" w:ascii="仿宋_GB2312" w:hAnsi="仿宋_GB2312" w:eastAsia="仿宋_GB2312" w:cs="仿宋_GB2312"/>
          <w:color w:val="auto"/>
          <w:szCs w:val="32"/>
        </w:rPr>
        <w:t>在全市形成</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个左右以金融科技为发展重点的园区、楼宇，</w:t>
      </w:r>
      <w:r>
        <w:rPr>
          <w:rFonts w:hint="eastAsia" w:ascii="仿宋_GB2312" w:hAnsi="仿宋_GB2312" w:eastAsia="仿宋_GB2312" w:cs="仿宋_GB2312"/>
          <w:color w:val="auto"/>
          <w:szCs w:val="32"/>
          <w:lang w:eastAsia="zh-CN"/>
        </w:rPr>
        <w:t>并</w:t>
      </w:r>
      <w:r>
        <w:rPr>
          <w:rFonts w:hint="eastAsia" w:ascii="仿宋_GB2312" w:hAnsi="仿宋_GB2312" w:eastAsia="仿宋_GB2312" w:cs="仿宋_GB2312"/>
          <w:color w:val="auto"/>
          <w:szCs w:val="32"/>
        </w:rPr>
        <w:t>形成较为完善的金融科技</w:t>
      </w:r>
      <w:r>
        <w:rPr>
          <w:rFonts w:hint="eastAsia" w:ascii="仿宋_GB2312" w:hAnsi="仿宋_GB2312" w:eastAsia="仿宋_GB2312" w:cs="仿宋_GB2312"/>
          <w:color w:val="auto"/>
          <w:szCs w:val="32"/>
          <w:lang w:eastAsia="zh-CN"/>
        </w:rPr>
        <w:t>配套</w:t>
      </w:r>
      <w:r>
        <w:rPr>
          <w:rFonts w:hint="eastAsia" w:ascii="仿宋_GB2312" w:hAnsi="仿宋_GB2312" w:eastAsia="仿宋_GB2312" w:cs="仿宋_GB2312"/>
          <w:color w:val="auto"/>
          <w:szCs w:val="32"/>
        </w:rPr>
        <w:t>支持</w:t>
      </w:r>
      <w:r>
        <w:rPr>
          <w:rFonts w:hint="eastAsia" w:ascii="仿宋_GB2312" w:hAnsi="仿宋_GB2312" w:eastAsia="仿宋_GB2312" w:cs="仿宋_GB2312"/>
          <w:color w:val="auto"/>
          <w:szCs w:val="32"/>
          <w:lang w:eastAsia="zh-CN"/>
        </w:rPr>
        <w:t>服务体系</w:t>
      </w:r>
      <w:r>
        <w:rPr>
          <w:rFonts w:hint="eastAsia" w:ascii="仿宋_GB2312" w:hAnsi="仿宋_GB2312" w:eastAsia="仿宋_GB2312" w:cs="仿宋_GB2312"/>
          <w:color w:val="auto"/>
          <w:szCs w:val="32"/>
        </w:rPr>
        <w:t>。</w:t>
      </w:r>
      <w:r>
        <w:rPr>
          <w:rFonts w:hint="eastAsia" w:ascii="Times New Roman" w:hAnsi="Times New Roman" w:cs="Times New Roman"/>
          <w:color w:val="auto"/>
          <w:szCs w:val="32"/>
          <w:lang w:eastAsia="zh-CN"/>
        </w:rPr>
        <w:t>集聚培育</w:t>
      </w:r>
      <w:r>
        <w:rPr>
          <w:rFonts w:hint="eastAsia" w:ascii="仿宋_GB2312" w:hAnsi="仿宋_GB2312" w:eastAsia="仿宋_GB2312" w:cs="仿宋_GB2312"/>
          <w:color w:val="auto"/>
          <w:szCs w:val="32"/>
          <w:lang w:val="en-US" w:eastAsia="zh-CN"/>
        </w:rPr>
        <w:t>10</w:t>
      </w:r>
      <w:r>
        <w:rPr>
          <w:rFonts w:hint="eastAsia" w:ascii="仿宋_GB2312" w:hAnsi="仿宋_GB2312" w:eastAsia="仿宋_GB2312" w:cs="仿宋_GB2312"/>
          <w:color w:val="auto"/>
          <w:szCs w:val="32"/>
        </w:rPr>
        <w:t>家以上国际知名的金融科技领军企业，</w:t>
      </w:r>
      <w:r>
        <w:rPr>
          <w:rFonts w:hint="eastAsia" w:cs="仿宋_GB2312"/>
          <w:color w:val="auto"/>
          <w:szCs w:val="32"/>
          <w:lang w:eastAsia="zh-CN"/>
        </w:rPr>
        <w:t>支持</w:t>
      </w:r>
      <w:r>
        <w:rPr>
          <w:rFonts w:hint="eastAsia" w:ascii="仿宋_GB2312" w:hAnsi="仿宋_GB2312" w:eastAsia="仿宋_GB2312" w:cs="仿宋_GB2312"/>
          <w:color w:val="auto"/>
          <w:szCs w:val="32"/>
        </w:rPr>
        <w:t>符合条件的</w:t>
      </w:r>
      <w:r>
        <w:rPr>
          <w:rFonts w:hint="eastAsia" w:cs="仿宋_GB2312"/>
          <w:color w:val="auto"/>
          <w:szCs w:val="32"/>
          <w:lang w:eastAsia="zh-CN"/>
        </w:rPr>
        <w:t>金融科技类企业在境内外</w:t>
      </w:r>
      <w:r>
        <w:rPr>
          <w:rFonts w:hint="eastAsia" w:ascii="仿宋_GB2312" w:hAnsi="仿宋_GB2312" w:eastAsia="仿宋_GB2312" w:cs="仿宋_GB2312"/>
          <w:color w:val="auto"/>
          <w:szCs w:val="32"/>
        </w:rPr>
        <w:t>上市</w:t>
      </w:r>
      <w:r>
        <w:rPr>
          <w:rFonts w:hint="eastAsia" w:cs="仿宋_GB2312"/>
          <w:color w:val="auto"/>
          <w:szCs w:val="32"/>
          <w:lang w:eastAsia="zh-CN"/>
        </w:rPr>
        <w:t>。</w:t>
      </w:r>
      <w:r>
        <w:rPr>
          <w:rFonts w:hint="eastAsia" w:ascii="仿宋_GB2312" w:hAnsi="仿宋_GB2312" w:eastAsia="仿宋_GB2312" w:cs="仿宋_GB2312"/>
          <w:color w:val="auto"/>
          <w:szCs w:val="32"/>
        </w:rPr>
        <w:t>国家级金融科技基础设施平台增至5家。</w:t>
      </w:r>
    </w:p>
    <w:p>
      <w:pPr>
        <w:pageBreakBefore w:val="0"/>
        <w:widowControl w:val="0"/>
        <w:kinsoku/>
        <w:wordWrap/>
        <w:overflowPunct/>
        <w:topLinePunct w:val="0"/>
        <w:bidi w:val="0"/>
        <w:adjustRightInd/>
        <w:snapToGrid/>
        <w:spacing w:line="560" w:lineRule="exact"/>
        <w:ind w:firstLine="643" w:firstLineChars="200"/>
        <w:rPr>
          <w:rFonts w:hint="eastAsia" w:ascii="Times New Roman" w:hAnsi="Times New Roman" w:eastAsia="仿宋_GB2312" w:cs="Times New Roman"/>
          <w:color w:val="auto"/>
          <w:szCs w:val="32"/>
          <w:lang w:eastAsia="zh-CN"/>
        </w:rPr>
      </w:pPr>
      <w:r>
        <w:rPr>
          <w:rFonts w:hint="eastAsia" w:cs="仿宋_GB2312"/>
          <w:b/>
          <w:bCs/>
          <w:color w:val="auto"/>
          <w:szCs w:val="32"/>
          <w:lang w:val="en-US" w:eastAsia="zh-CN"/>
        </w:rPr>
        <w:t>——</w:t>
      </w:r>
      <w:r>
        <w:rPr>
          <w:rFonts w:hint="default" w:ascii="Times New Roman" w:hAnsi="Times New Roman" w:cs="Times New Roman"/>
          <w:b/>
          <w:bCs/>
          <w:color w:val="auto"/>
          <w:szCs w:val="32"/>
        </w:rPr>
        <w:t>金融科技技术创新重点突破</w:t>
      </w:r>
      <w:r>
        <w:rPr>
          <w:rFonts w:hint="default" w:ascii="Times New Roman" w:hAnsi="Times New Roman" w:cs="Times New Roman"/>
          <w:b/>
          <w:bCs/>
          <w:color w:val="auto"/>
          <w:szCs w:val="32"/>
          <w:lang w:eastAsia="zh-CN"/>
        </w:rPr>
        <w:t>。</w:t>
      </w:r>
      <w:r>
        <w:rPr>
          <w:rFonts w:hint="default" w:ascii="Times New Roman" w:hAnsi="Times New Roman" w:cs="Times New Roman"/>
          <w:color w:val="auto"/>
          <w:szCs w:val="32"/>
        </w:rPr>
        <w:t>充分发挥深圳市创新资源集聚优势，</w:t>
      </w:r>
      <w:r>
        <w:rPr>
          <w:rFonts w:hint="eastAsia" w:ascii="Times New Roman" w:hAnsi="Times New Roman" w:cs="Times New Roman"/>
          <w:color w:val="auto"/>
          <w:szCs w:val="32"/>
          <w:lang w:eastAsia="zh-CN"/>
        </w:rPr>
        <w:t>推动金融科技关键软硬件应用研究攻关持续深入、场景适配不断加强、成果转化更加顺畅，</w:t>
      </w:r>
      <w:r>
        <w:rPr>
          <w:rFonts w:hint="default" w:ascii="Times New Roman" w:hAnsi="Times New Roman" w:cs="Times New Roman"/>
          <w:color w:val="auto"/>
          <w:szCs w:val="32"/>
        </w:rPr>
        <w:t>在芯片、算法等重点</w:t>
      </w:r>
      <w:r>
        <w:rPr>
          <w:rFonts w:hint="eastAsia" w:ascii="Times New Roman" w:hAnsi="Times New Roman" w:cs="Times New Roman"/>
          <w:color w:val="auto"/>
          <w:szCs w:val="32"/>
          <w:lang w:eastAsia="zh-CN"/>
        </w:rPr>
        <w:t>领域和关键</w:t>
      </w:r>
      <w:r>
        <w:rPr>
          <w:rFonts w:hint="default" w:ascii="Times New Roman" w:hAnsi="Times New Roman" w:cs="Times New Roman"/>
          <w:color w:val="auto"/>
          <w:szCs w:val="32"/>
        </w:rPr>
        <w:t>环节</w:t>
      </w:r>
      <w:r>
        <w:rPr>
          <w:rFonts w:hint="eastAsia" w:ascii="Times New Roman" w:hAnsi="Times New Roman" w:cs="Times New Roman"/>
          <w:color w:val="auto"/>
          <w:szCs w:val="32"/>
          <w:lang w:eastAsia="zh-CN"/>
        </w:rPr>
        <w:t>的效能稳步提升</w:t>
      </w:r>
      <w:r>
        <w:rPr>
          <w:rFonts w:hint="default" w:ascii="Times New Roman" w:hAnsi="Times New Roman" w:cs="Times New Roman"/>
          <w:color w:val="auto"/>
          <w:szCs w:val="32"/>
        </w:rPr>
        <w:t>，</w:t>
      </w:r>
      <w:r>
        <w:rPr>
          <w:rFonts w:hint="eastAsia" w:ascii="Times New Roman" w:hAnsi="Times New Roman" w:cs="Times New Roman"/>
          <w:color w:val="auto"/>
          <w:szCs w:val="32"/>
          <w:lang w:eastAsia="zh-CN"/>
        </w:rPr>
        <w:t>产学研用互为支撑、稳健高效的技术供应体系和开放创新生态更加健全。</w:t>
      </w:r>
    </w:p>
    <w:p>
      <w:pPr>
        <w:pageBreakBefore w:val="0"/>
        <w:widowControl w:val="0"/>
        <w:kinsoku/>
        <w:wordWrap/>
        <w:overflowPunct/>
        <w:topLinePunct w:val="0"/>
        <w:bidi w:val="0"/>
        <w:adjustRightInd/>
        <w:snapToGrid/>
        <w:spacing w:line="560" w:lineRule="exact"/>
        <w:ind w:firstLine="643" w:firstLineChars="200"/>
        <w:rPr>
          <w:rFonts w:hint="eastAsia" w:ascii="Times New Roman" w:hAnsi="Times New Roman" w:cs="Times New Roman"/>
          <w:color w:val="auto"/>
          <w:szCs w:val="32"/>
          <w:lang w:eastAsia="zh-CN"/>
        </w:rPr>
      </w:pPr>
      <w:r>
        <w:rPr>
          <w:rFonts w:hint="eastAsia" w:cs="仿宋_GB2312"/>
          <w:b/>
          <w:bCs/>
          <w:color w:val="auto"/>
          <w:szCs w:val="32"/>
          <w:lang w:val="en-US" w:eastAsia="zh-CN"/>
        </w:rPr>
        <w:t>——</w:t>
      </w:r>
      <w:r>
        <w:rPr>
          <w:rFonts w:hint="default" w:ascii="Times New Roman" w:hAnsi="Times New Roman" w:cs="Times New Roman"/>
          <w:b/>
          <w:bCs/>
          <w:color w:val="auto"/>
          <w:szCs w:val="32"/>
        </w:rPr>
        <w:t>金融科技</w:t>
      </w:r>
      <w:r>
        <w:rPr>
          <w:rFonts w:hint="eastAsia" w:ascii="Times New Roman" w:hAnsi="Times New Roman" w:cs="Times New Roman"/>
          <w:b/>
          <w:bCs/>
          <w:color w:val="auto"/>
          <w:szCs w:val="32"/>
          <w:lang w:eastAsia="zh-CN"/>
        </w:rPr>
        <w:t>场景</w:t>
      </w:r>
      <w:r>
        <w:rPr>
          <w:rFonts w:hint="default" w:ascii="Times New Roman" w:hAnsi="Times New Roman" w:cs="Times New Roman"/>
          <w:b/>
          <w:bCs/>
          <w:color w:val="auto"/>
          <w:szCs w:val="32"/>
        </w:rPr>
        <w:t>应用广泛</w:t>
      </w:r>
      <w:r>
        <w:rPr>
          <w:rFonts w:hint="eastAsia" w:ascii="Times New Roman" w:hAnsi="Times New Roman" w:cs="Times New Roman"/>
          <w:b/>
          <w:bCs/>
          <w:color w:val="auto"/>
          <w:szCs w:val="32"/>
          <w:lang w:eastAsia="zh-CN"/>
        </w:rPr>
        <w:t>普及。</w:t>
      </w:r>
      <w:r>
        <w:rPr>
          <w:rFonts w:hint="default" w:ascii="Times New Roman" w:hAnsi="Times New Roman" w:cs="Times New Roman"/>
          <w:color w:val="auto"/>
          <w:szCs w:val="32"/>
        </w:rPr>
        <w:t>金融科技产品种类不断丰富</w:t>
      </w:r>
      <w:r>
        <w:rPr>
          <w:rFonts w:hint="eastAsia" w:ascii="Times New Roman" w:hAnsi="Times New Roman" w:cs="Times New Roman"/>
          <w:color w:val="auto"/>
          <w:szCs w:val="32"/>
          <w:lang w:eastAsia="zh-CN"/>
        </w:rPr>
        <w:t>、应用场景持续拓展、</w:t>
      </w:r>
      <w:r>
        <w:rPr>
          <w:rFonts w:hint="default" w:ascii="Times New Roman" w:hAnsi="Times New Roman" w:cs="Times New Roman"/>
          <w:color w:val="auto"/>
          <w:szCs w:val="32"/>
        </w:rPr>
        <w:t>普惠范围</w:t>
      </w:r>
      <w:r>
        <w:rPr>
          <w:rFonts w:hint="eastAsia" w:ascii="Times New Roman" w:hAnsi="Times New Roman" w:cs="Times New Roman"/>
          <w:color w:val="auto"/>
          <w:szCs w:val="32"/>
          <w:lang w:eastAsia="zh-CN"/>
        </w:rPr>
        <w:t>有序</w:t>
      </w:r>
      <w:r>
        <w:rPr>
          <w:rFonts w:hint="default" w:ascii="Times New Roman" w:hAnsi="Times New Roman" w:cs="Times New Roman"/>
          <w:color w:val="auto"/>
          <w:szCs w:val="32"/>
        </w:rPr>
        <w:t>扩大，</w:t>
      </w:r>
      <w:r>
        <w:rPr>
          <w:rFonts w:hint="eastAsia" w:ascii="Times New Roman" w:hAnsi="Times New Roman" w:cs="Times New Roman"/>
          <w:color w:val="auto"/>
          <w:szCs w:val="32"/>
          <w:lang w:eastAsia="zh-CN"/>
        </w:rPr>
        <w:t>金融机构上云用数赋智水平稳步提高，金融业数字化迈入深化发展新阶段。数字普惠金融和无障碍服务体系更加完善，科技赋能金融资源更加精准高效地配置，助力金融服务实体经济提质增效。</w:t>
      </w:r>
    </w:p>
    <w:p>
      <w:pPr>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cs="Times New Roman"/>
          <w:color w:val="auto"/>
          <w:szCs w:val="32"/>
        </w:rPr>
      </w:pPr>
      <w:r>
        <w:rPr>
          <w:rFonts w:hint="eastAsia" w:cs="仿宋_GB2312"/>
          <w:b/>
          <w:bCs/>
          <w:color w:val="auto"/>
          <w:szCs w:val="32"/>
          <w:lang w:val="en-US" w:eastAsia="zh-CN"/>
        </w:rPr>
        <w:t>——</w:t>
      </w:r>
      <w:r>
        <w:rPr>
          <w:rFonts w:hint="default" w:ascii="Times New Roman" w:hAnsi="Times New Roman" w:cs="Times New Roman"/>
          <w:b/>
          <w:bCs/>
          <w:color w:val="auto"/>
          <w:szCs w:val="32"/>
        </w:rPr>
        <w:t>金融科技人才培育初具成效</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金融科技人才规模显著提升</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集聚</w:t>
      </w:r>
      <w:r>
        <w:rPr>
          <w:rFonts w:hint="eastAsia" w:ascii="Times New Roman" w:hAnsi="Times New Roman" w:cs="Times New Roman"/>
          <w:color w:val="auto"/>
          <w:szCs w:val="32"/>
          <w:lang w:eastAsia="zh-CN"/>
        </w:rPr>
        <w:t>效应持续增强，</w:t>
      </w:r>
      <w:r>
        <w:rPr>
          <w:rFonts w:hint="default" w:ascii="Times New Roman" w:hAnsi="Times New Roman" w:cs="Times New Roman"/>
          <w:color w:val="auto"/>
          <w:szCs w:val="32"/>
        </w:rPr>
        <w:t>取得深港澳金融科技师资格人数达到</w:t>
      </w:r>
      <w:r>
        <w:rPr>
          <w:rFonts w:hint="eastAsia" w:ascii="仿宋_GB2312" w:hAnsi="仿宋_GB2312" w:eastAsia="仿宋_GB2312" w:cs="仿宋_GB2312"/>
          <w:color w:val="auto"/>
          <w:szCs w:val="32"/>
        </w:rPr>
        <w:t>1000</w:t>
      </w:r>
      <w:r>
        <w:rPr>
          <w:rFonts w:hint="default" w:ascii="Times New Roman" w:hAnsi="Times New Roman" w:cs="Times New Roman"/>
          <w:color w:val="auto"/>
          <w:szCs w:val="32"/>
        </w:rPr>
        <w:t>人，形成较为完善的金融科技人才培养</w:t>
      </w:r>
      <w:r>
        <w:rPr>
          <w:rFonts w:hint="eastAsia" w:ascii="Times New Roman" w:hAnsi="Times New Roman" w:cs="Times New Roman"/>
          <w:color w:val="auto"/>
          <w:szCs w:val="32"/>
          <w:lang w:eastAsia="zh-CN"/>
        </w:rPr>
        <w:t>和</w:t>
      </w:r>
      <w:r>
        <w:rPr>
          <w:rFonts w:hint="default" w:ascii="Times New Roman" w:hAnsi="Times New Roman" w:cs="Times New Roman"/>
          <w:color w:val="auto"/>
          <w:szCs w:val="32"/>
        </w:rPr>
        <w:t>评价体系，初步建成鼓励创新创业、宜居宜业的金融科技人才发展环境。</w:t>
      </w:r>
    </w:p>
    <w:p>
      <w:pPr>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cs="Times New Roman"/>
          <w:color w:val="auto"/>
          <w:szCs w:val="32"/>
        </w:rPr>
      </w:pPr>
      <w:r>
        <w:rPr>
          <w:rFonts w:hint="eastAsia" w:cs="仿宋_GB2312"/>
          <w:b/>
          <w:bCs/>
          <w:color w:val="auto"/>
          <w:szCs w:val="32"/>
          <w:lang w:val="en-US" w:eastAsia="zh-CN"/>
        </w:rPr>
        <w:t>——</w:t>
      </w:r>
      <w:r>
        <w:rPr>
          <w:rFonts w:hint="default" w:ascii="Times New Roman" w:hAnsi="Times New Roman" w:cs="Times New Roman"/>
          <w:b/>
          <w:bCs/>
          <w:color w:val="auto"/>
          <w:szCs w:val="32"/>
        </w:rPr>
        <w:t>监管科技创新应用走在前列</w:t>
      </w:r>
      <w:r>
        <w:rPr>
          <w:rFonts w:hint="eastAsia" w:ascii="Times New Roman" w:hAnsi="Times New Roman" w:cs="Times New Roman"/>
          <w:b/>
          <w:bCs/>
          <w:color w:val="auto"/>
          <w:szCs w:val="32"/>
          <w:lang w:eastAsia="zh-CN"/>
        </w:rPr>
        <w:t>。</w:t>
      </w:r>
      <w:r>
        <w:rPr>
          <w:rFonts w:hint="eastAsia" w:ascii="仿宋_GB2312" w:hAnsi="仿宋_GB2312" w:eastAsia="仿宋_GB2312" w:cs="仿宋_GB2312"/>
          <w:color w:val="auto"/>
          <w:szCs w:val="32"/>
        </w:rPr>
        <w:t>培育</w:t>
      </w:r>
      <w:r>
        <w:rPr>
          <w:rFonts w:hint="eastAsia" w:cs="仿宋_GB2312"/>
          <w:color w:val="auto"/>
          <w:szCs w:val="32"/>
          <w:lang w:eastAsia="zh-CN"/>
        </w:rPr>
        <w:t>一批在合规科技、</w:t>
      </w:r>
      <w:r>
        <w:rPr>
          <w:rFonts w:hint="eastAsia" w:ascii="仿宋_GB2312" w:hAnsi="仿宋_GB2312" w:eastAsia="仿宋_GB2312" w:cs="仿宋_GB2312"/>
          <w:color w:val="auto"/>
          <w:szCs w:val="32"/>
        </w:rPr>
        <w:t>监管科技</w:t>
      </w:r>
      <w:r>
        <w:rPr>
          <w:rFonts w:hint="eastAsia" w:cs="仿宋_GB2312"/>
          <w:color w:val="auto"/>
          <w:szCs w:val="32"/>
          <w:lang w:eastAsia="zh-CN"/>
        </w:rPr>
        <w:t>、伦理规范等</w:t>
      </w:r>
      <w:r>
        <w:rPr>
          <w:rFonts w:hint="eastAsia" w:ascii="仿宋_GB2312" w:hAnsi="仿宋_GB2312" w:eastAsia="仿宋_GB2312" w:cs="仿宋_GB2312"/>
          <w:color w:val="auto"/>
          <w:szCs w:val="32"/>
        </w:rPr>
        <w:t>领域</w:t>
      </w:r>
      <w:r>
        <w:rPr>
          <w:rFonts w:hint="eastAsia" w:cs="仿宋_GB2312"/>
          <w:color w:val="auto"/>
          <w:szCs w:val="32"/>
          <w:lang w:eastAsia="zh-CN"/>
        </w:rPr>
        <w:t>具备较强竞争优势的优质</w:t>
      </w:r>
      <w:r>
        <w:rPr>
          <w:rFonts w:hint="eastAsia" w:ascii="仿宋_GB2312" w:hAnsi="仿宋_GB2312" w:eastAsia="仿宋_GB2312" w:cs="仿宋_GB2312"/>
          <w:color w:val="auto"/>
          <w:szCs w:val="32"/>
        </w:rPr>
        <w:t>企业，形成较为完善的</w:t>
      </w:r>
      <w:r>
        <w:rPr>
          <w:rFonts w:hint="eastAsia" w:cs="仿宋_GB2312"/>
          <w:color w:val="auto"/>
          <w:szCs w:val="32"/>
          <w:lang w:eastAsia="zh-CN"/>
        </w:rPr>
        <w:t>金融科技治理</w:t>
      </w:r>
      <w:r>
        <w:rPr>
          <w:rFonts w:hint="eastAsia" w:ascii="仿宋_GB2312" w:hAnsi="仿宋_GB2312" w:eastAsia="仿宋_GB2312" w:cs="仿宋_GB2312"/>
          <w:color w:val="auto"/>
          <w:szCs w:val="32"/>
        </w:rPr>
        <w:t>体系，</w:t>
      </w:r>
      <w:r>
        <w:rPr>
          <w:rFonts w:hint="eastAsia" w:cs="仿宋_GB2312"/>
          <w:color w:val="auto"/>
          <w:szCs w:val="32"/>
          <w:lang w:eastAsia="zh-CN"/>
        </w:rPr>
        <w:t>金融科技创新监管进一步强化</w:t>
      </w:r>
      <w:r>
        <w:rPr>
          <w:rFonts w:hint="eastAsia" w:ascii="仿宋_GB2312" w:hAnsi="仿宋_GB2312" w:eastAsia="仿宋_GB2312" w:cs="仿宋_GB2312"/>
          <w:color w:val="auto"/>
          <w:szCs w:val="32"/>
        </w:rPr>
        <w:t>，</w:t>
      </w:r>
      <w:r>
        <w:rPr>
          <w:rFonts w:hint="eastAsia" w:cs="仿宋_GB2312"/>
          <w:color w:val="auto"/>
          <w:szCs w:val="32"/>
          <w:lang w:eastAsia="zh-CN"/>
        </w:rPr>
        <w:t>数字化监管能力持续</w:t>
      </w:r>
      <w:r>
        <w:rPr>
          <w:rFonts w:hint="eastAsia" w:ascii="仿宋_GB2312" w:hAnsi="仿宋_GB2312" w:eastAsia="仿宋_GB2312" w:cs="仿宋_GB2312"/>
          <w:color w:val="auto"/>
          <w:szCs w:val="32"/>
        </w:rPr>
        <w:t>提升，</w:t>
      </w:r>
      <w:r>
        <w:rPr>
          <w:rFonts w:hint="eastAsia" w:cs="仿宋_GB2312"/>
          <w:color w:val="auto"/>
          <w:szCs w:val="32"/>
          <w:lang w:eastAsia="zh-CN"/>
        </w:rPr>
        <w:t>与金融科技创新发展相匹配的风险防控体系更加健全</w:t>
      </w:r>
      <w:r>
        <w:rPr>
          <w:rFonts w:hint="eastAsia" w:ascii="仿宋_GB2312" w:hAnsi="仿宋_GB2312" w:eastAsia="仿宋_GB2312" w:cs="仿宋_GB2312"/>
          <w:color w:val="auto"/>
          <w:szCs w:val="32"/>
        </w:rPr>
        <w:t>。</w:t>
      </w:r>
    </w:p>
    <w:p>
      <w:pPr>
        <w:pStyle w:val="3"/>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bookmarkStart w:id="19" w:name="_Toc13654"/>
      <w:bookmarkStart w:id="20" w:name="_Toc581148126"/>
      <w:bookmarkStart w:id="21" w:name="_Toc4358"/>
      <w:r>
        <w:rPr>
          <w:rFonts w:hint="default"/>
          <w:color w:val="auto"/>
        </w:rPr>
        <w:t>三、</w:t>
      </w:r>
      <w:r>
        <w:rPr>
          <w:rFonts w:hint="eastAsia"/>
          <w:color w:val="auto"/>
          <w:lang w:val="en-US" w:eastAsia="zh-CN"/>
        </w:rPr>
        <w:t>主要任务</w:t>
      </w:r>
      <w:bookmarkEnd w:id="19"/>
      <w:bookmarkEnd w:id="20"/>
    </w:p>
    <w:p>
      <w:pPr>
        <w:pStyle w:val="4"/>
        <w:pageBreakBefore w:val="0"/>
        <w:widowControl w:val="0"/>
        <w:kinsoku/>
        <w:wordWrap/>
        <w:overflowPunct/>
        <w:topLinePunct w:val="0"/>
        <w:autoSpaceDE/>
        <w:autoSpaceDN/>
        <w:bidi w:val="0"/>
        <w:adjustRightInd/>
        <w:snapToGrid/>
        <w:spacing w:line="560" w:lineRule="exact"/>
        <w:textAlignment w:val="auto"/>
        <w:rPr>
          <w:rFonts w:hint="default"/>
          <w:color w:val="auto"/>
        </w:rPr>
      </w:pPr>
      <w:bookmarkStart w:id="22" w:name="_Toc9430"/>
      <w:bookmarkStart w:id="23" w:name="_Toc1503501634"/>
      <w:r>
        <w:rPr>
          <w:rFonts w:hint="eastAsia"/>
          <w:color w:val="auto"/>
          <w:lang w:eastAsia="zh-CN"/>
        </w:rPr>
        <w:t>（</w:t>
      </w:r>
      <w:r>
        <w:rPr>
          <w:rFonts w:hint="eastAsia"/>
          <w:color w:val="auto"/>
          <w:lang w:val="en-US" w:eastAsia="zh-CN"/>
        </w:rPr>
        <w:t>一</w:t>
      </w:r>
      <w:r>
        <w:rPr>
          <w:rFonts w:hint="eastAsia"/>
          <w:color w:val="auto"/>
          <w:lang w:eastAsia="zh-CN"/>
        </w:rPr>
        <w:t>）</w:t>
      </w:r>
      <w:r>
        <w:rPr>
          <w:rFonts w:hint="default"/>
          <w:color w:val="auto"/>
        </w:rPr>
        <w:t>推动金融科技机构高水平集聚</w:t>
      </w:r>
      <w:bookmarkEnd w:id="21"/>
      <w:bookmarkEnd w:id="22"/>
      <w:bookmarkEnd w:id="23"/>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color w:val="auto"/>
        </w:rPr>
      </w:pPr>
      <w:bookmarkStart w:id="24" w:name="_Toc26029"/>
      <w:r>
        <w:rPr>
          <w:rFonts w:hint="default"/>
          <w:b/>
          <w:bCs/>
          <w:color w:val="auto"/>
          <w:lang w:val="en-US" w:eastAsia="zh-CN"/>
        </w:rPr>
        <w:t>1.</w:t>
      </w:r>
      <w:r>
        <w:rPr>
          <w:rFonts w:hint="eastAsia"/>
          <w:b/>
          <w:bCs/>
          <w:color w:val="auto"/>
        </w:rPr>
        <w:t>吸引集聚</w:t>
      </w:r>
      <w:r>
        <w:rPr>
          <w:rFonts w:hint="eastAsia"/>
          <w:b/>
          <w:bCs/>
          <w:color w:val="auto"/>
          <w:lang w:val="en-US" w:eastAsia="zh-CN"/>
        </w:rPr>
        <w:t>各类</w:t>
      </w:r>
      <w:r>
        <w:rPr>
          <w:rFonts w:hint="eastAsia"/>
          <w:b/>
          <w:bCs/>
          <w:color w:val="auto"/>
        </w:rPr>
        <w:t>金融科技创新主体</w:t>
      </w:r>
      <w:bookmarkEnd w:id="24"/>
      <w:r>
        <w:rPr>
          <w:rFonts w:hint="eastAsia"/>
          <w:b/>
          <w:bCs/>
          <w:color w:val="auto"/>
          <w:lang w:eastAsia="zh-CN"/>
        </w:rPr>
        <w:t>。</w:t>
      </w:r>
      <w:r>
        <w:rPr>
          <w:rFonts w:hint="eastAsia"/>
          <w:color w:val="auto"/>
          <w:lang w:val="en-US" w:eastAsia="zh-CN"/>
        </w:rPr>
        <w:t>加大</w:t>
      </w:r>
      <w:r>
        <w:rPr>
          <w:rFonts w:hint="default"/>
          <w:color w:val="auto"/>
        </w:rPr>
        <w:t>《深圳市扶持金融科技发展若干措施》</w:t>
      </w:r>
      <w:r>
        <w:rPr>
          <w:rFonts w:hint="eastAsia"/>
          <w:color w:val="auto"/>
          <w:lang w:val="en-US" w:eastAsia="zh-CN"/>
        </w:rPr>
        <w:t>等系列政策宣传推广力度</w:t>
      </w:r>
      <w:r>
        <w:rPr>
          <w:rFonts w:hint="default"/>
          <w:color w:val="auto"/>
        </w:rPr>
        <w:t>，鼓励国内外机构在</w:t>
      </w:r>
      <w:r>
        <w:rPr>
          <w:rFonts w:hint="eastAsia"/>
          <w:color w:val="auto"/>
          <w:lang w:val="en-US" w:eastAsia="zh-CN"/>
        </w:rPr>
        <w:t>深</w:t>
      </w:r>
      <w:r>
        <w:rPr>
          <w:rFonts w:hint="default"/>
          <w:color w:val="auto"/>
        </w:rPr>
        <w:t>设立</w:t>
      </w:r>
      <w:r>
        <w:rPr>
          <w:rFonts w:hint="eastAsia"/>
          <w:color w:val="auto"/>
          <w:lang w:val="en-US" w:eastAsia="zh-CN"/>
        </w:rPr>
        <w:t>金融科技</w:t>
      </w:r>
      <w:r>
        <w:rPr>
          <w:rFonts w:hint="default"/>
          <w:color w:val="auto"/>
        </w:rPr>
        <w:t>赋能平台、事业部或金融科技公司</w:t>
      </w:r>
      <w:r>
        <w:rPr>
          <w:rFonts w:hint="eastAsia"/>
          <w:color w:val="auto"/>
          <w:lang w:eastAsia="zh-CN"/>
        </w:rPr>
        <w:t>，</w:t>
      </w:r>
      <w:r>
        <w:rPr>
          <w:rFonts w:hint="eastAsia"/>
          <w:color w:val="auto"/>
          <w:lang w:val="en-US" w:eastAsia="zh-CN"/>
        </w:rPr>
        <w:t>争取</w:t>
      </w:r>
      <w:r>
        <w:rPr>
          <w:rFonts w:hint="default"/>
          <w:color w:val="auto"/>
        </w:rPr>
        <w:t>国家金融监管部门及其直属机构来深发起设立清算中心、数据中心、科研中心、测评中心和服务中心</w:t>
      </w:r>
      <w:r>
        <w:rPr>
          <w:rFonts w:hint="eastAsia"/>
          <w:color w:val="auto"/>
          <w:lang w:eastAsia="zh-CN"/>
        </w:rPr>
        <w:t>。</w:t>
      </w:r>
      <w:r>
        <w:rPr>
          <w:rFonts w:hint="default"/>
          <w:color w:val="auto"/>
        </w:rPr>
        <w:t>在银行、保险、证券、基金、金融租赁等传统金融领域，积极推动和培育一批数字化转型成效显著的持牌金融机构，带动金融业数字化转型升级。培育一批为持牌金融机构提供科技服务，数字化业务模式成熟、技术水平高的金融科技“专精特新”企业。</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color w:val="auto"/>
        </w:rPr>
      </w:pPr>
      <w:bookmarkStart w:id="25" w:name="_Toc20709"/>
      <w:r>
        <w:rPr>
          <w:rFonts w:hint="eastAsia"/>
          <w:b/>
          <w:bCs/>
          <w:color w:val="auto"/>
          <w:lang w:val="en-US" w:eastAsia="zh-CN"/>
        </w:rPr>
        <w:t>2</w:t>
      </w:r>
      <w:r>
        <w:rPr>
          <w:rFonts w:hint="default"/>
          <w:b/>
          <w:bCs/>
          <w:color w:val="auto"/>
          <w:lang w:val="en-US" w:eastAsia="zh-CN"/>
        </w:rPr>
        <w:t>.</w:t>
      </w:r>
      <w:bookmarkEnd w:id="25"/>
      <w:r>
        <w:rPr>
          <w:rFonts w:hint="eastAsia"/>
          <w:b/>
          <w:bCs/>
          <w:color w:val="auto"/>
          <w:lang w:val="en-US" w:eastAsia="zh-CN"/>
        </w:rPr>
        <w:t>推动建设若干金融科技集聚功能区</w:t>
      </w:r>
      <w:r>
        <w:rPr>
          <w:rFonts w:hint="eastAsia"/>
          <w:b/>
          <w:bCs/>
          <w:color w:val="auto"/>
          <w:lang w:eastAsia="zh-CN"/>
        </w:rPr>
        <w:t>。</w:t>
      </w:r>
      <w:r>
        <w:rPr>
          <w:rFonts w:hint="eastAsia"/>
          <w:color w:val="auto"/>
          <w:lang w:val="en-US" w:eastAsia="zh-CN"/>
        </w:rPr>
        <w:t>支持各区结合自身产业优势、资源禀赋等找准功能定位，制定差异化措施，发展金融科技特色领域，在金融科技赋能科创产业、深港跨境合作、供应链金融、海洋金融等方面互补协同发展。依托金融科技龙头企业和基础较好的专业园区（楼宇），在梅彩片区、深圳湾科技生态园、红岭新兴金融产业带、香蜜湖新金融中心、宝安湾滨海金融中心、前海深港国际金融城等区域建设、认定若干市级金融科技产业园区（楼宇），打造金融科技展示窗口和特色名片。综合考虑</w:t>
      </w:r>
      <w:r>
        <w:rPr>
          <w:rFonts w:hint="default"/>
          <w:color w:val="auto"/>
        </w:rPr>
        <w:t>营收、融资、贡献、科研水平和影响力</w:t>
      </w:r>
      <w:r>
        <w:rPr>
          <w:rFonts w:hint="eastAsia"/>
          <w:color w:val="auto"/>
          <w:lang w:val="en-US" w:eastAsia="zh-CN"/>
        </w:rPr>
        <w:t>等</w:t>
      </w:r>
      <w:r>
        <w:rPr>
          <w:rFonts w:hint="default"/>
          <w:color w:val="auto"/>
        </w:rPr>
        <w:t>，定期遴选发现一批金融科技领域重点企业</w:t>
      </w:r>
      <w:r>
        <w:rPr>
          <w:rFonts w:hint="eastAsia"/>
          <w:color w:val="auto"/>
          <w:lang w:eastAsia="zh-CN"/>
        </w:rPr>
        <w:t>，</w:t>
      </w:r>
      <w:r>
        <w:rPr>
          <w:rFonts w:hint="eastAsia"/>
          <w:color w:val="auto"/>
          <w:lang w:val="en-US" w:eastAsia="zh-CN"/>
        </w:rPr>
        <w:t>完善市区联动挂点服务机制，着力培育一批领军企业</w:t>
      </w:r>
      <w:r>
        <w:rPr>
          <w:rFonts w:hint="default"/>
          <w:color w:val="auto"/>
        </w:rPr>
        <w:t>。</w:t>
      </w:r>
    </w:p>
    <w:tbl>
      <w:tblPr>
        <w:tblStyle w:val="15"/>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9" w:type="dxa"/>
            <w:tcMar>
              <w:top w:w="57" w:type="dxa"/>
              <w:left w:w="170" w:type="dxa"/>
              <w:bottom w:w="57" w:type="dxa"/>
              <w:right w:w="170" w:type="dxa"/>
            </w:tcMar>
            <w:vAlign w:val="top"/>
          </w:tcPr>
          <w:p>
            <w:pPr>
              <w:pStyle w:val="2"/>
              <w:keepNext w:val="0"/>
              <w:keepLines w:val="0"/>
              <w:pageBreakBefore w:val="0"/>
              <w:widowControl w:val="0"/>
              <w:kinsoku/>
              <w:wordWrap/>
              <w:overflowPunct/>
              <w:topLinePunct w:val="0"/>
              <w:autoSpaceDE/>
              <w:autoSpaceDN/>
              <w:bidi w:val="0"/>
              <w:adjustRightInd/>
              <w:snapToGrid w:val="0"/>
              <w:spacing w:before="219" w:beforeLines="50" w:after="110" w:afterLines="25" w:line="400" w:lineRule="exact"/>
              <w:ind w:left="0" w:leftChars="0" w:firstLine="0" w:firstLineChars="0"/>
              <w:jc w:val="both"/>
              <w:textAlignment w:val="baseline"/>
              <w:rPr>
                <w:rFonts w:hint="eastAsia"/>
                <w:sz w:val="28"/>
                <w:szCs w:val="21"/>
                <w:lang w:val="en-US" w:eastAsia="zh-CN"/>
              </w:rPr>
            </w:pPr>
            <w:bookmarkStart w:id="26" w:name="_Toc2553"/>
            <w:r>
              <w:rPr>
                <w:rFonts w:hint="eastAsia"/>
                <w:b/>
                <w:bCs/>
                <w:sz w:val="28"/>
                <w:szCs w:val="21"/>
                <w:lang w:val="en-US" w:eastAsia="zh-CN"/>
              </w:rPr>
              <w:t>专栏1：湾区国际金融科技城</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z w:val="28"/>
                <w:szCs w:val="21"/>
                <w:lang w:val="en-US" w:eastAsia="zh-CN"/>
              </w:rPr>
            </w:pPr>
            <w:r>
              <w:rPr>
                <w:rFonts w:hint="eastAsia" w:ascii="楷体_GB2312" w:hAnsi="楷体_GB2312" w:eastAsia="楷体_GB2312" w:cs="楷体_GB2312"/>
                <w:sz w:val="28"/>
                <w:szCs w:val="21"/>
                <w:lang w:val="en-US" w:eastAsia="zh-CN"/>
              </w:rPr>
              <w:t>为加快金融科技空间载体建设，打造有国际影响力的金融科技生态产业集群，福田区于2019、2020年先后推出金融科技专业空间载体——湾区国际金融科技城、国际金融科技生态园（简称“福田金科双园”），打造都市型、分布式、智能化金科园区，两园区具备要素组合优势、运行效率优势、综合成本优势，形成福田区金融科技“双园联动”的发展格局。</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z w:val="28"/>
                <w:szCs w:val="21"/>
                <w:lang w:val="en-US" w:eastAsia="zh-CN"/>
              </w:rPr>
            </w:pPr>
            <w:r>
              <w:rPr>
                <w:rFonts w:hint="eastAsia" w:ascii="楷体_GB2312" w:hAnsi="楷体_GB2312" w:eastAsia="楷体_GB2312" w:cs="楷体_GB2312"/>
                <w:sz w:val="28"/>
                <w:szCs w:val="21"/>
                <w:lang w:val="en-US" w:eastAsia="zh-CN"/>
              </w:rPr>
              <w:t>福田区改变传统物业管理公司运营模式，将“金科双园”交由深圳市金融科技协会运营，通过深度挖掘行业资源、开展招商引资、举办专业对接活动、提供企业注册托管服务、承建福田金融科技加速器、开展金融人才培训、承担接待运营事务等，为入驻企业提供精准服务。同时，充分发挥行业组织的联动效应，助力形成产业氛围浓厚、行业资源集聚、产业集群成型、专业服务支撑四大特色。开园以来，福田金科双园共组织湾区金科（FinTech）沙龙、行业交流会、融资或产品路演、政企交流等活动超百场，涉及人工智能、大数据、区块链、金融云、信息安全等技术话题，汇聚了金融机构CIO、金融科技公司创始人及从业者、技术人员等。截至2021年底，园区常驻人员2236名，园区企业主营业务收入达57.5亿元，同比增长40.8%；贡献税收达2.2亿元，同比增长73.6%。</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lang w:val="en-US" w:eastAsia="zh-CN"/>
              </w:rPr>
            </w:pPr>
            <w:r>
              <w:rPr>
                <w:rFonts w:hint="eastAsia" w:ascii="楷体_GB2312" w:hAnsi="楷体_GB2312" w:eastAsia="楷体_GB2312" w:cs="楷体_GB2312"/>
                <w:sz w:val="28"/>
                <w:szCs w:val="21"/>
                <w:lang w:val="en-US" w:eastAsia="zh-CN"/>
              </w:rPr>
              <w:t>据悉在金融科技领域，福田区打出系列“组合拳”，推出“七个首创”，即：在全国范围内出台首个地方政府金融科技专项政策、首个金融科技专项人才奖励条款、发布首个反映金融科技产业发展的股票指数“香蜜湖金融科技指数”，设立首个金融科技专项奖“香蜜湖金融科技创新奖”，举办首个金融科技特色的人才活动“湾区（深圳）金融科技人才季”，组建首个金融科技智囊团“金融科技专家咨询委员会”，打造《粤港澳大湾区发展规划纲要》发布后首个金融科技空间载体“湾区国际金融科技城”。</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szCs w:val="32"/>
        </w:rPr>
      </w:pPr>
      <w:r>
        <w:rPr>
          <w:rFonts w:hint="eastAsia" w:ascii="仿宋_GB2312" w:hAnsi="仿宋_GB2312" w:cstheme="minorBidi"/>
          <w:b/>
          <w:bCs/>
          <w:color w:val="auto"/>
          <w:szCs w:val="22"/>
          <w:lang w:eastAsia="zh-CN"/>
        </w:rPr>
        <w:t>3</w:t>
      </w:r>
      <w:r>
        <w:rPr>
          <w:rFonts w:hint="eastAsia"/>
          <w:b/>
          <w:bCs/>
          <w:color w:val="auto"/>
          <w:lang w:val="en-US" w:eastAsia="zh-CN"/>
        </w:rPr>
        <w:t>.</w:t>
      </w:r>
      <w:r>
        <w:rPr>
          <w:rFonts w:hint="eastAsia"/>
          <w:b/>
          <w:bCs/>
          <w:color w:val="auto"/>
          <w:lang w:eastAsia="zh-CN"/>
        </w:rPr>
        <w:t>支持金融</w:t>
      </w:r>
      <w:r>
        <w:rPr>
          <w:rFonts w:hint="eastAsia"/>
          <w:b/>
          <w:bCs/>
          <w:color w:val="auto"/>
        </w:rPr>
        <w:t>信创产业及攻关基地发展</w:t>
      </w:r>
      <w:bookmarkEnd w:id="26"/>
      <w:r>
        <w:rPr>
          <w:rFonts w:hint="eastAsia"/>
          <w:b/>
          <w:bCs/>
          <w:color w:val="auto"/>
          <w:lang w:eastAsia="zh-CN"/>
        </w:rPr>
        <w:t>。</w:t>
      </w:r>
      <w:bookmarkStart w:id="27" w:name="_Hlk70352033"/>
      <w:r>
        <w:rPr>
          <w:rFonts w:hint="eastAsia" w:ascii="Times New Roman" w:hAnsi="Times New Roman" w:cs="Times New Roman"/>
          <w:color w:val="auto"/>
          <w:szCs w:val="32"/>
          <w:lang w:eastAsia="zh-CN"/>
        </w:rPr>
        <w:t>进一步发挥深圳市金融业信息技术应用创新攻关基地功能，带动集聚一批优质信创企业，鼓励开展</w:t>
      </w:r>
      <w:r>
        <w:rPr>
          <w:rFonts w:hint="eastAsia"/>
          <w:lang w:eastAsia="zh-CN"/>
        </w:rPr>
        <w:t>协同技术攻关，</w:t>
      </w:r>
      <w:r>
        <w:rPr>
          <w:rFonts w:hint="eastAsia"/>
          <w:color w:val="auto"/>
          <w:lang w:eastAsia="zh-CN"/>
        </w:rPr>
        <w:t>探索建立行业标准与规范，引导提供更多满足金融业需求的信息技术解决方案。</w:t>
      </w:r>
      <w:r>
        <w:rPr>
          <w:rFonts w:hint="eastAsia" w:ascii="Times New Roman" w:hAnsi="Times New Roman" w:cs="Times New Roman"/>
          <w:color w:val="auto"/>
          <w:szCs w:val="32"/>
          <w:lang w:eastAsia="zh-CN"/>
        </w:rPr>
        <w:t>支持组建市场化的</w:t>
      </w:r>
      <w:r>
        <w:rPr>
          <w:rFonts w:hint="default" w:ascii="Times New Roman" w:hAnsi="Times New Roman" w:cs="Times New Roman"/>
          <w:color w:val="auto"/>
          <w:szCs w:val="32"/>
        </w:rPr>
        <w:t>信创发展基金，</w:t>
      </w:r>
      <w:r>
        <w:rPr>
          <w:rFonts w:hint="eastAsia" w:ascii="Times New Roman" w:hAnsi="Times New Roman" w:cs="Times New Roman"/>
          <w:color w:val="auto"/>
          <w:szCs w:val="32"/>
          <w:lang w:eastAsia="zh-CN"/>
        </w:rPr>
        <w:t>鼓励</w:t>
      </w:r>
      <w:r>
        <w:rPr>
          <w:rFonts w:hint="default" w:ascii="Times New Roman" w:hAnsi="Times New Roman" w:cs="Times New Roman"/>
          <w:color w:val="auto"/>
          <w:szCs w:val="32"/>
        </w:rPr>
        <w:t>社会资本投向信创</w:t>
      </w:r>
      <w:r>
        <w:rPr>
          <w:rFonts w:hint="eastAsia" w:ascii="Times New Roman" w:hAnsi="Times New Roman" w:cs="Times New Roman"/>
          <w:color w:val="auto"/>
          <w:szCs w:val="32"/>
          <w:lang w:eastAsia="zh-CN"/>
        </w:rPr>
        <w:t>产业的关键环节</w:t>
      </w:r>
      <w:r>
        <w:rPr>
          <w:rFonts w:hint="default" w:ascii="Times New Roman" w:hAnsi="Times New Roman" w:cs="Times New Roman"/>
          <w:color w:val="auto"/>
          <w:szCs w:val="32"/>
        </w:rPr>
        <w:t>，</w:t>
      </w:r>
      <w:r>
        <w:rPr>
          <w:rFonts w:hint="eastAsia" w:ascii="Times New Roman" w:hAnsi="Times New Roman" w:cs="Times New Roman"/>
          <w:color w:val="auto"/>
          <w:szCs w:val="32"/>
          <w:lang w:eastAsia="zh-CN"/>
        </w:rPr>
        <w:t>加快芯片、数据库、基础软件、应用软件等领域国产化进程，不断健全金融信创全产业链配套供给体系</w:t>
      </w:r>
      <w:r>
        <w:rPr>
          <w:rFonts w:hint="default" w:ascii="Times New Roman" w:hAnsi="Times New Roman" w:cs="Times New Roman"/>
          <w:color w:val="auto"/>
          <w:szCs w:val="32"/>
        </w:rPr>
        <w:t>。</w:t>
      </w:r>
      <w:bookmarkEnd w:id="27"/>
    </w:p>
    <w:p>
      <w:pPr>
        <w:pStyle w:val="2"/>
        <w:keepNext w:val="0"/>
        <w:keepLines w:val="0"/>
        <w:pageBreakBefore w:val="0"/>
        <w:widowControl w:val="0"/>
        <w:kinsoku/>
        <w:wordWrap/>
        <w:overflowPunct/>
        <w:topLinePunct w:val="0"/>
        <w:autoSpaceDE/>
        <w:autoSpaceDN/>
        <w:bidi w:val="0"/>
        <w:adjustRightInd/>
        <w:snapToGrid/>
        <w:textAlignment w:val="baseline"/>
        <w:rPr>
          <w:rFonts w:hint="default"/>
        </w:rPr>
      </w:pPr>
    </w:p>
    <w:tbl>
      <w:tblPr>
        <w:tblStyle w:val="15"/>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8159" w:type="dxa"/>
            <w:tcMar>
              <w:top w:w="57" w:type="dxa"/>
              <w:left w:w="170" w:type="dxa"/>
              <w:bottom w:w="57" w:type="dxa"/>
              <w:right w:w="170" w:type="dxa"/>
            </w:tcMar>
            <w:vAlign w:val="top"/>
          </w:tcPr>
          <w:p>
            <w:pPr>
              <w:pStyle w:val="2"/>
              <w:keepNext w:val="0"/>
              <w:keepLines w:val="0"/>
              <w:pageBreakBefore w:val="0"/>
              <w:widowControl w:val="0"/>
              <w:kinsoku/>
              <w:wordWrap/>
              <w:overflowPunct/>
              <w:topLinePunct w:val="0"/>
              <w:autoSpaceDE/>
              <w:autoSpaceDN/>
              <w:bidi w:val="0"/>
              <w:adjustRightInd/>
              <w:snapToGrid w:val="0"/>
              <w:spacing w:before="219" w:beforeLines="50" w:after="110" w:afterLines="25" w:line="440" w:lineRule="exact"/>
              <w:ind w:left="0" w:leftChars="0" w:firstLine="0" w:firstLineChars="0"/>
              <w:jc w:val="both"/>
              <w:textAlignment w:val="baseline"/>
              <w:rPr>
                <w:rFonts w:hint="eastAsia"/>
                <w:sz w:val="28"/>
                <w:szCs w:val="21"/>
                <w:lang w:val="en-US" w:eastAsia="zh-CN"/>
              </w:rPr>
            </w:pPr>
            <w:r>
              <w:rPr>
                <w:rFonts w:hint="eastAsia"/>
                <w:b/>
                <w:bCs/>
                <w:sz w:val="28"/>
                <w:szCs w:val="21"/>
                <w:lang w:val="en-US" w:eastAsia="zh-CN"/>
              </w:rPr>
              <w:t>专栏2：深圳市金融业信息技术应用创新攻关基地</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z w:val="28"/>
                <w:szCs w:val="21"/>
                <w:lang w:val="en-US" w:eastAsia="zh-CN"/>
              </w:rPr>
            </w:pPr>
            <w:r>
              <w:rPr>
                <w:rFonts w:hint="eastAsia" w:ascii="楷体_GB2312" w:hAnsi="楷体_GB2312" w:eastAsia="楷体_GB2312" w:cs="楷体_GB2312"/>
                <w:spacing w:val="-6"/>
                <w:sz w:val="28"/>
                <w:szCs w:val="21"/>
                <w:lang w:val="en-US" w:eastAsia="zh-CN"/>
              </w:rPr>
              <w:t>2020年7月28日，“深圳·进而有为华为云与计算城市峰会2020”举办。峰会期间，深圳市发改委与华为共同签署了“新基建”战略合作协议，未来将在5G、云计算等重大科技基础设施进行深入合作，加快深圳在数字化、网络化、智能化与经济社会发展深度融合。同时</w:t>
            </w:r>
            <w:r>
              <w:rPr>
                <w:rFonts w:hint="eastAsia" w:ascii="楷体_GB2312" w:hAnsi="楷体_GB2312" w:eastAsia="楷体_GB2312" w:cs="楷体_GB2312"/>
                <w:sz w:val="28"/>
                <w:szCs w:val="21"/>
                <w:lang w:val="en-US" w:eastAsia="zh-CN"/>
              </w:rPr>
              <w:t>，深圳市金融业信息技术应用创新攻关基地正式揭牌，在南山区深圳湾科技生态园启动运营，南山区安排1亿元资金分5年专项支持金融信创攻关基地建设。</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z w:val="28"/>
                <w:szCs w:val="21"/>
                <w:lang w:val="en-US" w:eastAsia="zh-CN"/>
              </w:rPr>
            </w:pPr>
            <w:r>
              <w:rPr>
                <w:rFonts w:hint="eastAsia" w:ascii="楷体_GB2312" w:hAnsi="楷体_GB2312" w:eastAsia="楷体_GB2312" w:cs="楷体_GB2312"/>
                <w:sz w:val="28"/>
                <w:szCs w:val="21"/>
                <w:lang w:val="en-US" w:eastAsia="zh-CN"/>
              </w:rPr>
              <w:t>业界认为，一直以来深圳市金融科技创新企业密集，金融科技生态良好，技术创新、场景应用等能力处于领先地位。金融信创攻关基地作为深圳鲲鹏产业发展载体中的重要组成，主要面向银行、保险、证券、第三方支付业务场景中的办公管理系统、一般应用与核心应用系统进行技术攻关与适配，以实现应用系统基础设施的国产化替代，将进一步推进金融业关键信息基础设施建设的攻关和创新，推动建立行业标准与规范，打造一系列满足金融行业需求的信息技术解决方案。同时，也将加速鲲鹏产业生态人才培养，助力粤港澳大湾区建成金融科技创新高地。</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lang w:val="en-US" w:eastAsia="zh-CN"/>
              </w:rPr>
            </w:pPr>
            <w:r>
              <w:rPr>
                <w:rFonts w:hint="eastAsia" w:ascii="楷体_GB2312" w:hAnsi="楷体_GB2312" w:eastAsia="楷体_GB2312" w:cs="楷体_GB2312"/>
                <w:sz w:val="28"/>
                <w:szCs w:val="21"/>
                <w:lang w:val="en-US" w:eastAsia="zh-CN"/>
              </w:rPr>
              <w:t>金融信创攻关基地自启动以来，已对接金融机构、金融行业ISV共计50余家；通过评审遴选课题共计79个，截至2022年7月已完成课题攻关23个，成功举办6期11个班次人才培养课程（参训单位超30家、参训学员达163人）；预计2022年底将有6000+台鲲鹏底座上线支撑金融XC国产化替代。</w:t>
            </w:r>
          </w:p>
        </w:tc>
      </w:tr>
    </w:tbl>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color w:val="auto"/>
        </w:rPr>
      </w:pPr>
      <w:r>
        <w:rPr>
          <w:rFonts w:hint="eastAsia"/>
          <w:b/>
          <w:bCs/>
          <w:color w:val="auto"/>
          <w:lang w:val="en-US" w:eastAsia="zh-CN"/>
        </w:rPr>
        <w:t>4</w:t>
      </w:r>
      <w:r>
        <w:rPr>
          <w:rFonts w:hint="default"/>
          <w:b/>
          <w:bCs/>
          <w:color w:val="auto"/>
          <w:lang w:val="en-US" w:eastAsia="zh-CN"/>
        </w:rPr>
        <w:t>.</w:t>
      </w:r>
      <w:r>
        <w:rPr>
          <w:rFonts w:hint="eastAsia"/>
          <w:b/>
          <w:bCs/>
          <w:color w:val="auto"/>
          <w:lang w:val="en-US" w:eastAsia="zh-CN"/>
        </w:rPr>
        <w:t>支持金融机构加强数字化转型布局。</w:t>
      </w:r>
      <w:r>
        <w:rPr>
          <w:rFonts w:hint="eastAsia"/>
          <w:b w:val="0"/>
          <w:bCs w:val="0"/>
          <w:color w:val="auto"/>
          <w:lang w:val="en-US" w:eastAsia="zh-CN"/>
        </w:rPr>
        <w:t>支持金融机构制定全方位数字化转型战略，有序实践基于数据资产和数字化技术的金融创新，增强个性化、差异化、定制化产品和服务开发能力，加快金融服务智慧再造，提高服务实体经济质效。</w:t>
      </w:r>
      <w:r>
        <w:rPr>
          <w:rFonts w:hint="eastAsia"/>
          <w:color w:val="auto"/>
          <w:lang w:eastAsia="zh-CN"/>
        </w:rPr>
        <w:t>鼓励</w:t>
      </w:r>
      <w:r>
        <w:rPr>
          <w:rFonts w:hint="default"/>
          <w:color w:val="auto"/>
        </w:rPr>
        <w:t>小额贷款、融资担保、商业保理、融资租赁等地方金融</w:t>
      </w:r>
      <w:r>
        <w:rPr>
          <w:rFonts w:hint="eastAsia"/>
          <w:color w:val="auto"/>
          <w:lang w:eastAsia="zh-CN"/>
        </w:rPr>
        <w:t>组织积极</w:t>
      </w:r>
      <w:r>
        <w:rPr>
          <w:rFonts w:hint="default"/>
          <w:color w:val="auto"/>
        </w:rPr>
        <w:t>对接科技资源</w:t>
      </w:r>
      <w:r>
        <w:rPr>
          <w:rFonts w:hint="eastAsia"/>
          <w:color w:val="auto"/>
          <w:lang w:eastAsia="zh-CN"/>
        </w:rPr>
        <w:t>，结合业务特点，从实际需求出发，加强金融科技赋能，</w:t>
      </w:r>
      <w:r>
        <w:rPr>
          <w:rFonts w:hint="default"/>
          <w:color w:val="auto"/>
        </w:rPr>
        <w:t>提升数字化经营能力。</w:t>
      </w:r>
    </w:p>
    <w:p>
      <w:pPr>
        <w:pStyle w:val="4"/>
        <w:pageBreakBefore w:val="0"/>
        <w:widowControl w:val="0"/>
        <w:kinsoku/>
        <w:wordWrap/>
        <w:overflowPunct/>
        <w:topLinePunct w:val="0"/>
        <w:autoSpaceDE/>
        <w:autoSpaceDN/>
        <w:bidi w:val="0"/>
        <w:adjustRightInd/>
        <w:snapToGrid/>
        <w:spacing w:line="560" w:lineRule="exact"/>
        <w:textAlignment w:val="auto"/>
        <w:rPr>
          <w:rFonts w:hint="default"/>
          <w:color w:val="auto"/>
          <w:lang w:eastAsia="zh-CN"/>
        </w:rPr>
      </w:pPr>
      <w:bookmarkStart w:id="28" w:name="_Toc1121591465"/>
      <w:r>
        <w:rPr>
          <w:rFonts w:hint="eastAsia"/>
          <w:color w:val="auto"/>
          <w:lang w:eastAsia="zh-CN"/>
        </w:rPr>
        <w:t>（</w:t>
      </w:r>
      <w:r>
        <w:rPr>
          <w:rFonts w:hint="eastAsia"/>
          <w:color w:val="auto"/>
          <w:lang w:val="en-US" w:eastAsia="zh-CN"/>
        </w:rPr>
        <w:t>二</w:t>
      </w:r>
      <w:r>
        <w:rPr>
          <w:rFonts w:hint="eastAsia"/>
          <w:color w:val="auto"/>
          <w:lang w:eastAsia="zh-CN"/>
        </w:rPr>
        <w:t>）</w:t>
      </w:r>
      <w:r>
        <w:rPr>
          <w:rFonts w:hint="default"/>
          <w:color w:val="auto"/>
          <w:lang w:eastAsia="zh-CN"/>
        </w:rPr>
        <w:t>促进金融科技特色应用集中涌现</w:t>
      </w:r>
      <w:bookmarkEnd w:id="28"/>
    </w:p>
    <w:p>
      <w:pPr>
        <w:pageBreakBefore w:val="0"/>
        <w:widowControl w:val="0"/>
        <w:kinsoku/>
        <w:wordWrap/>
        <w:overflowPunct/>
        <w:topLinePunct w:val="0"/>
        <w:autoSpaceDE/>
        <w:autoSpaceDN/>
        <w:bidi w:val="0"/>
        <w:adjustRightInd/>
        <w:snapToGrid/>
        <w:spacing w:line="560" w:lineRule="exact"/>
        <w:ind w:firstLine="643" w:firstLineChars="0"/>
        <w:textAlignment w:val="auto"/>
        <w:rPr>
          <w:rFonts w:hint="default" w:ascii="Times New Roman" w:hAnsi="Times New Roman" w:eastAsia="仿宋_GB2312" w:cs="Times New Roman"/>
          <w:color w:val="auto"/>
          <w:szCs w:val="32"/>
          <w:lang w:val="en-US" w:eastAsia="zh-CN"/>
        </w:rPr>
      </w:pPr>
      <w:r>
        <w:rPr>
          <w:rFonts w:hint="eastAsia"/>
          <w:b/>
          <w:bCs/>
          <w:color w:val="auto"/>
          <w:lang w:val="en-US" w:eastAsia="zh-CN"/>
        </w:rPr>
        <w:t>1.</w:t>
      </w:r>
      <w:r>
        <w:rPr>
          <w:rFonts w:hint="default"/>
          <w:b/>
          <w:bCs/>
          <w:color w:val="auto"/>
          <w:lang w:val="en-US" w:eastAsia="zh-CN"/>
        </w:rPr>
        <w:t>深化</w:t>
      </w:r>
      <w:r>
        <w:rPr>
          <w:rFonts w:hint="default" w:ascii="Times New Roman" w:hAnsi="Times New Roman" w:cs="Times New Roman"/>
          <w:b/>
          <w:bCs/>
          <w:color w:val="auto"/>
          <w:szCs w:val="32"/>
        </w:rPr>
        <w:t>普惠金融科技创新应用。</w:t>
      </w:r>
      <w:r>
        <w:rPr>
          <w:rFonts w:hint="eastAsia" w:ascii="Times New Roman" w:hAnsi="Times New Roman" w:cs="Times New Roman"/>
          <w:color w:val="auto"/>
          <w:szCs w:val="32"/>
          <w:lang w:val="en-US" w:eastAsia="zh-CN"/>
        </w:rPr>
        <w:t>支持金融机构</w:t>
      </w:r>
      <w:r>
        <w:rPr>
          <w:rFonts w:hint="default" w:ascii="Times New Roman" w:hAnsi="Times New Roman" w:cs="Times New Roman"/>
          <w:color w:val="auto"/>
          <w:szCs w:val="32"/>
        </w:rPr>
        <w:t>通过大数据</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人工智能等</w:t>
      </w:r>
      <w:r>
        <w:rPr>
          <w:rFonts w:hint="default" w:ascii="Times New Roman" w:hAnsi="Times New Roman" w:cs="Times New Roman"/>
          <w:color w:val="auto"/>
          <w:szCs w:val="32"/>
        </w:rPr>
        <w:t>技术，</w:t>
      </w:r>
      <w:r>
        <w:rPr>
          <w:rFonts w:hint="eastAsia" w:ascii="Times New Roman" w:hAnsi="Times New Roman" w:cs="Times New Roman"/>
          <w:color w:val="auto"/>
          <w:szCs w:val="32"/>
          <w:lang w:val="en-US" w:eastAsia="zh-CN"/>
        </w:rPr>
        <w:t>加强放贷</w:t>
      </w:r>
      <w:r>
        <w:rPr>
          <w:rFonts w:hint="default" w:ascii="Times New Roman" w:hAnsi="Times New Roman" w:cs="Times New Roman"/>
          <w:color w:val="auto"/>
          <w:szCs w:val="32"/>
        </w:rPr>
        <w:t>审批、风控等融资全流程的数字化</w:t>
      </w:r>
      <w:r>
        <w:rPr>
          <w:rFonts w:hint="eastAsia" w:ascii="Times New Roman" w:hAnsi="Times New Roman" w:cs="Times New Roman"/>
          <w:color w:val="auto"/>
          <w:szCs w:val="32"/>
          <w:lang w:val="en-US" w:eastAsia="zh-CN"/>
        </w:rPr>
        <w:t>赋能</w:t>
      </w:r>
      <w:r>
        <w:rPr>
          <w:rFonts w:hint="default" w:ascii="Times New Roman" w:hAnsi="Times New Roman" w:cs="Times New Roman"/>
          <w:color w:val="auto"/>
          <w:szCs w:val="32"/>
        </w:rPr>
        <w:t>，</w:t>
      </w:r>
      <w:r>
        <w:rPr>
          <w:rFonts w:hint="eastAsia" w:ascii="Times New Roman" w:hAnsi="Times New Roman" w:cs="Times New Roman"/>
          <w:color w:val="auto"/>
          <w:szCs w:val="32"/>
          <w:lang w:val="en-US" w:eastAsia="zh-CN"/>
        </w:rPr>
        <w:t>综合运用企业、政务、金融等各类数据提高全面评估、精准画像水平，</w:t>
      </w:r>
      <w:r>
        <w:rPr>
          <w:rFonts w:hint="default" w:ascii="Times New Roman" w:hAnsi="Times New Roman" w:cs="Times New Roman"/>
          <w:color w:val="auto"/>
          <w:szCs w:val="32"/>
        </w:rPr>
        <w:t>减少对抵押物的依赖，</w:t>
      </w:r>
      <w:r>
        <w:rPr>
          <w:rFonts w:hint="eastAsia" w:ascii="Times New Roman" w:hAnsi="Times New Roman" w:cs="Times New Roman"/>
          <w:color w:val="auto"/>
          <w:szCs w:val="32"/>
          <w:lang w:val="en-US" w:eastAsia="zh-CN"/>
        </w:rPr>
        <w:t>缓解银企间信息不对称问题，更好</w:t>
      </w:r>
      <w:r>
        <w:rPr>
          <w:rFonts w:hint="default" w:ascii="Times New Roman" w:hAnsi="Times New Roman" w:cs="Times New Roman"/>
          <w:color w:val="auto"/>
          <w:szCs w:val="32"/>
        </w:rPr>
        <w:t>满足小微企业“少、频、急”的融资需求。</w:t>
      </w:r>
      <w:r>
        <w:rPr>
          <w:rFonts w:hint="eastAsia" w:ascii="Times New Roman" w:hAnsi="Times New Roman" w:cs="Times New Roman"/>
          <w:color w:val="auto"/>
          <w:szCs w:val="32"/>
          <w:lang w:val="en-US" w:eastAsia="zh-CN"/>
        </w:rPr>
        <w:t>进一步发挥深圳市创业创新金融服务平台、各区金融超市等作用，线上线下相结合，提供更多与企业需求适配的精细化、定制化数字金融服务产品。支持在供应链金融、</w:t>
      </w:r>
      <w:r>
        <w:rPr>
          <w:rFonts w:hint="default" w:ascii="Times New Roman" w:hAnsi="Times New Roman" w:cs="Times New Roman"/>
          <w:color w:val="auto"/>
          <w:szCs w:val="32"/>
        </w:rPr>
        <w:t>融资租赁</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履约保险等细分领域加强数字化场景应用，满足中小微企业扩大再生产、重大设备融资、项目风险分担等多样化需求。</w:t>
      </w:r>
    </w:p>
    <w:p>
      <w:pPr>
        <w:pageBreakBefore w:val="0"/>
        <w:widowControl w:val="0"/>
        <w:kinsoku/>
        <w:wordWrap/>
        <w:overflowPunct/>
        <w:topLinePunct w:val="0"/>
        <w:autoSpaceDE/>
        <w:autoSpaceDN/>
        <w:bidi w:val="0"/>
        <w:adjustRightInd/>
        <w:snapToGrid/>
        <w:spacing w:line="560" w:lineRule="exact"/>
        <w:ind w:firstLine="643" w:firstLineChars="0"/>
        <w:textAlignment w:val="auto"/>
        <w:rPr>
          <w:rFonts w:hint="default" w:ascii="Times New Roman" w:hAnsi="Times New Roman" w:cs="Times New Roman"/>
          <w:b w:val="0"/>
          <w:bCs w:val="0"/>
          <w:color w:val="auto"/>
          <w:szCs w:val="32"/>
          <w:lang w:val="en-US" w:eastAsia="zh-CN"/>
        </w:rPr>
      </w:pPr>
      <w:r>
        <w:rPr>
          <w:rFonts w:hint="eastAsia"/>
          <w:b/>
          <w:bCs/>
          <w:color w:val="auto"/>
          <w:lang w:val="en-US" w:eastAsia="zh-CN"/>
        </w:rPr>
        <w:t>2.</w:t>
      </w:r>
      <w:r>
        <w:rPr>
          <w:rFonts w:hint="eastAsia" w:ascii="Times New Roman" w:hAnsi="Times New Roman" w:cs="Times New Roman"/>
          <w:b/>
          <w:bCs/>
          <w:color w:val="auto"/>
          <w:szCs w:val="32"/>
          <w:lang w:val="en-US" w:eastAsia="zh-CN"/>
        </w:rPr>
        <w:t>促进</w:t>
      </w:r>
      <w:r>
        <w:rPr>
          <w:rFonts w:hint="default" w:ascii="Times New Roman" w:hAnsi="Times New Roman" w:cs="Times New Roman"/>
          <w:b/>
          <w:bCs/>
          <w:color w:val="auto"/>
          <w:szCs w:val="32"/>
          <w:lang w:val="en-US" w:eastAsia="zh-CN"/>
        </w:rPr>
        <w:t>民生金融科技探索突破</w:t>
      </w:r>
      <w:r>
        <w:rPr>
          <w:rFonts w:hint="default" w:ascii="Times New Roman" w:hAnsi="Times New Roman" w:cs="Times New Roman"/>
          <w:b/>
          <w:bCs/>
          <w:color w:val="auto"/>
          <w:szCs w:val="32"/>
        </w:rPr>
        <w:t>。</w:t>
      </w:r>
      <w:r>
        <w:rPr>
          <w:rFonts w:hint="eastAsia" w:ascii="Times New Roman" w:hAnsi="Times New Roman" w:cs="Times New Roman"/>
          <w:b w:val="0"/>
          <w:bCs w:val="0"/>
          <w:color w:val="auto"/>
          <w:szCs w:val="32"/>
          <w:lang w:val="en-US" w:eastAsia="zh-CN"/>
        </w:rPr>
        <w:t>支持结合社区日常生活场景，利用物联网、移动通信等技术手段，融合教育、医疗、交通、社保、</w:t>
      </w:r>
      <w:r>
        <w:rPr>
          <w:rFonts w:hint="default" w:ascii="Times New Roman" w:hAnsi="Times New Roman" w:cs="Times New Roman"/>
          <w:color w:val="auto"/>
          <w:szCs w:val="32"/>
        </w:rPr>
        <w:t>非税缴费</w:t>
      </w:r>
      <w:r>
        <w:rPr>
          <w:rFonts w:hint="eastAsia" w:ascii="Times New Roman" w:hAnsi="Times New Roman" w:cs="Times New Roman"/>
          <w:b w:val="0"/>
          <w:bCs w:val="0"/>
          <w:color w:val="auto"/>
          <w:szCs w:val="32"/>
          <w:lang w:val="en-US" w:eastAsia="zh-CN"/>
        </w:rPr>
        <w:t>等金融需求，打造“一点多能、一网多用”的综合金融服务平台。鼓励发挥人工智能等技术优势，为行动不便、偏远地区、特殊人群等提供定制化或远程服务，开发无障碍数字化金融产品，让更多群众共享金融科技发展成果。支持金融机构顺应趋势，加强资产管理、财富管理等重点民生金融服务领域的数字化建设，依法合规发展智能投顾、智能投研、智能投行等业务，更好满足居民财富保值增值需求。</w:t>
      </w:r>
    </w:p>
    <w:p>
      <w:pPr>
        <w:pageBreakBefore w:val="0"/>
        <w:widowControl w:val="0"/>
        <w:kinsoku/>
        <w:wordWrap/>
        <w:overflowPunct/>
        <w:topLinePunct w:val="0"/>
        <w:autoSpaceDE/>
        <w:autoSpaceDN/>
        <w:bidi w:val="0"/>
        <w:adjustRightInd/>
        <w:snapToGrid/>
        <w:spacing w:line="560" w:lineRule="exact"/>
        <w:ind w:firstLine="643" w:firstLineChars="0"/>
        <w:textAlignment w:val="auto"/>
        <w:rPr>
          <w:rFonts w:hint="default" w:ascii="Times New Roman" w:hAnsi="Times New Roman" w:eastAsia="仿宋_GB2312" w:cs="Times New Roman"/>
          <w:color w:val="auto"/>
          <w:szCs w:val="32"/>
          <w:lang w:val="en-US" w:eastAsia="zh-CN"/>
        </w:rPr>
      </w:pPr>
      <w:r>
        <w:rPr>
          <w:rFonts w:hint="eastAsia"/>
          <w:b/>
          <w:bCs/>
          <w:color w:val="auto"/>
          <w:lang w:val="en-US" w:eastAsia="zh-CN"/>
        </w:rPr>
        <w:t>3.</w:t>
      </w:r>
      <w:r>
        <w:rPr>
          <w:rFonts w:hint="default"/>
          <w:b/>
          <w:bCs/>
          <w:color w:val="auto"/>
          <w:lang w:val="en-US" w:eastAsia="zh-CN"/>
        </w:rPr>
        <w:t>扩</w:t>
      </w:r>
      <w:r>
        <w:rPr>
          <w:rFonts w:hint="default" w:ascii="Times New Roman" w:hAnsi="Times New Roman" w:cs="Times New Roman"/>
          <w:b/>
          <w:bCs/>
          <w:color w:val="auto"/>
          <w:szCs w:val="32"/>
        </w:rPr>
        <w:t>大绿色金融科技应用范围</w:t>
      </w:r>
      <w:r>
        <w:rPr>
          <w:rFonts w:hint="default" w:ascii="Times New Roman" w:hAnsi="Times New Roman" w:cs="Times New Roman"/>
          <w:color w:val="auto"/>
          <w:szCs w:val="32"/>
        </w:rPr>
        <w:t>。鼓励运用金融科技手段健全绿色金融体系。</w:t>
      </w:r>
      <w:r>
        <w:rPr>
          <w:rFonts w:hint="eastAsia" w:ascii="Times New Roman" w:hAnsi="Times New Roman" w:cs="Times New Roman"/>
          <w:color w:val="auto"/>
          <w:szCs w:val="32"/>
          <w:lang w:val="en-US" w:eastAsia="zh-CN"/>
        </w:rPr>
        <w:t>支持</w:t>
      </w:r>
      <w:r>
        <w:rPr>
          <w:rFonts w:hint="default" w:ascii="Times New Roman" w:hAnsi="Times New Roman" w:cs="Times New Roman"/>
          <w:color w:val="auto"/>
          <w:szCs w:val="32"/>
        </w:rPr>
        <w:t>深圳证券交易所、排放权交易所、</w:t>
      </w:r>
      <w:r>
        <w:rPr>
          <w:rFonts w:hint="eastAsia" w:ascii="Times New Roman" w:hAnsi="Times New Roman" w:cs="Times New Roman"/>
          <w:color w:val="auto"/>
          <w:szCs w:val="32"/>
          <w:lang w:val="en-US" w:eastAsia="zh-CN"/>
        </w:rPr>
        <w:t>金融机构、</w:t>
      </w:r>
      <w:r>
        <w:rPr>
          <w:rFonts w:hint="default" w:ascii="Times New Roman" w:hAnsi="Times New Roman" w:cs="Times New Roman"/>
          <w:color w:val="auto"/>
          <w:szCs w:val="32"/>
        </w:rPr>
        <w:t>碳资产管理公司、第三方认证机构</w:t>
      </w:r>
      <w:r>
        <w:rPr>
          <w:rFonts w:hint="eastAsia" w:ascii="Times New Roman" w:hAnsi="Times New Roman" w:cs="Times New Roman"/>
          <w:color w:val="auto"/>
          <w:szCs w:val="32"/>
          <w:lang w:val="en-US" w:eastAsia="zh-CN"/>
        </w:rPr>
        <w:t>等</w:t>
      </w:r>
      <w:r>
        <w:rPr>
          <w:rFonts w:hint="default" w:ascii="Times New Roman" w:hAnsi="Times New Roman" w:cs="Times New Roman"/>
          <w:color w:val="auto"/>
          <w:szCs w:val="32"/>
        </w:rPr>
        <w:t>优化升级绿色金融全流程服务体系</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在依法合规、风险可控前提下，为企业提供绿色债券、绿色信贷、绿色保险、碳金融等多元化产品</w:t>
      </w:r>
      <w:r>
        <w:rPr>
          <w:rFonts w:hint="default" w:ascii="Times New Roman" w:hAnsi="Times New Roman" w:cs="Times New Roman"/>
          <w:color w:val="auto"/>
          <w:szCs w:val="32"/>
        </w:rPr>
        <w:t>。</w:t>
      </w:r>
      <w:r>
        <w:rPr>
          <w:rFonts w:hint="eastAsia" w:ascii="Times New Roman" w:hAnsi="Times New Roman" w:cs="Times New Roman"/>
          <w:color w:val="auto"/>
          <w:szCs w:val="32"/>
          <w:lang w:val="en-US" w:eastAsia="zh-CN"/>
        </w:rPr>
        <w:t>支持</w:t>
      </w:r>
      <w:r>
        <w:rPr>
          <w:rFonts w:hint="default" w:ascii="Times New Roman" w:hAnsi="Times New Roman" w:cs="Times New Roman"/>
          <w:color w:val="auto"/>
          <w:szCs w:val="32"/>
        </w:rPr>
        <w:t>建立基于区块链和智能合约技术的绿色资产开发、绿色金融信息披露</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绿色债券审核及交易平台。</w:t>
      </w:r>
      <w:r>
        <w:rPr>
          <w:rFonts w:hint="eastAsia" w:ascii="Times New Roman" w:hAnsi="Times New Roman" w:cs="Times New Roman"/>
          <w:color w:val="auto"/>
          <w:szCs w:val="32"/>
          <w:lang w:val="en-US" w:eastAsia="zh-CN"/>
        </w:rPr>
        <w:t>鼓励利用大数据、人工智能等技术建立绿色信息监测与分析模型，量化环境效益和转型风险，提升绿色金融风险管理能力。</w:t>
      </w:r>
    </w:p>
    <w:p>
      <w:pPr>
        <w:pageBreakBefore w:val="0"/>
        <w:widowControl w:val="0"/>
        <w:kinsoku/>
        <w:wordWrap/>
        <w:overflowPunct/>
        <w:topLinePunct w:val="0"/>
        <w:autoSpaceDE/>
        <w:autoSpaceDN/>
        <w:bidi w:val="0"/>
        <w:adjustRightInd/>
        <w:snapToGrid/>
        <w:spacing w:line="560" w:lineRule="exact"/>
        <w:ind w:firstLine="643" w:firstLineChars="0"/>
        <w:textAlignment w:val="auto"/>
        <w:rPr>
          <w:rFonts w:hint="default" w:ascii="Times New Roman" w:hAnsi="Times New Roman" w:cs="Times New Roman"/>
          <w:color w:val="auto"/>
          <w:szCs w:val="32"/>
          <w:lang w:val="en-US" w:eastAsia="zh-CN"/>
        </w:rPr>
      </w:pPr>
      <w:r>
        <w:rPr>
          <w:rFonts w:hint="eastAsia"/>
          <w:b/>
          <w:bCs/>
          <w:color w:val="auto"/>
          <w:lang w:val="en-US" w:eastAsia="zh-CN"/>
        </w:rPr>
        <w:t>4.推动</w:t>
      </w:r>
      <w:r>
        <w:rPr>
          <w:rFonts w:hint="default" w:ascii="Times New Roman" w:hAnsi="Times New Roman" w:cs="Times New Roman"/>
          <w:b/>
          <w:bCs/>
          <w:color w:val="auto"/>
          <w:szCs w:val="32"/>
        </w:rPr>
        <w:t>跨境金融科技深化应用</w:t>
      </w:r>
      <w:r>
        <w:rPr>
          <w:rFonts w:hint="default" w:ascii="Times New Roman" w:hAnsi="Times New Roman" w:cs="Times New Roman"/>
          <w:color w:val="auto"/>
          <w:szCs w:val="32"/>
        </w:rPr>
        <w:t>。</w:t>
      </w:r>
      <w:r>
        <w:rPr>
          <w:rFonts w:hint="eastAsia" w:ascii="Times New Roman" w:hAnsi="Times New Roman" w:cs="Times New Roman"/>
          <w:color w:val="auto"/>
          <w:szCs w:val="32"/>
          <w:lang w:val="en-US" w:eastAsia="zh-CN"/>
        </w:rPr>
        <w:t>推进粤港澳大湾区金融科技跨境创新测试工作，加强与香港、澳门金融科技监管沙盒对接，支持一批具有跨境特色的创新应用在前海开展试点，提升深港、深澳跨境金融服务创新水平。支持利用图像识别、区块链等现代技术，破解跨境见证开户、跨境凭证真实性审核、跨境信用信息授权查证等难点，提升投融资便利化水平。支持金融机构在跨境结算、贸易融资、外汇交易等领域搭建线上化平台，鼓励开发批量汇款、自助结汇、闪电开证等特色产品，服务外贸新业态新模式。</w:t>
      </w:r>
    </w:p>
    <w:p>
      <w:pPr>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color w:val="auto"/>
          <w:lang w:val="en-US" w:eastAsia="zh-CN"/>
        </w:rPr>
      </w:pPr>
      <w:bookmarkStart w:id="29" w:name="_Toc11922"/>
      <w:bookmarkStart w:id="30" w:name="_Toc28816"/>
      <w:bookmarkStart w:id="31" w:name="_Toc10290"/>
      <w:r>
        <w:rPr>
          <w:rFonts w:hint="eastAsia"/>
          <w:b/>
          <w:bCs/>
          <w:color w:val="auto"/>
          <w:lang w:val="en-US" w:eastAsia="zh-CN"/>
        </w:rPr>
        <w:t>5.</w:t>
      </w:r>
      <w:r>
        <w:rPr>
          <w:rFonts w:hint="default"/>
          <w:b/>
          <w:bCs/>
          <w:color w:val="auto"/>
        </w:rPr>
        <w:t>支持数字人民币</w:t>
      </w:r>
      <w:r>
        <w:rPr>
          <w:rFonts w:hint="eastAsia"/>
          <w:b/>
          <w:bCs/>
          <w:color w:val="auto"/>
          <w:lang w:val="en-US" w:eastAsia="zh-CN"/>
        </w:rPr>
        <w:t>应用场景</w:t>
      </w:r>
      <w:r>
        <w:rPr>
          <w:rFonts w:hint="default"/>
          <w:b/>
          <w:bCs/>
          <w:color w:val="auto"/>
        </w:rPr>
        <w:t>创新</w:t>
      </w:r>
      <w:bookmarkEnd w:id="29"/>
      <w:r>
        <w:rPr>
          <w:rFonts w:hint="eastAsia"/>
          <w:b/>
          <w:bCs/>
          <w:color w:val="auto"/>
          <w:lang w:eastAsia="zh-CN"/>
        </w:rPr>
        <w:t>。</w:t>
      </w:r>
      <w:r>
        <w:rPr>
          <w:rFonts w:hint="eastAsia"/>
          <w:color w:val="auto"/>
          <w:lang w:val="en-US" w:eastAsia="zh-CN"/>
        </w:rPr>
        <w:t>按照人民银行统一部署，深入推进数字人民币试点工作，不断丰富应用场景、扩大试点规模，完善数字人民币生态体系。充分发挥深圳金融科技研究院（央行金融科技研究院）带动作用，推进</w:t>
      </w:r>
      <w:r>
        <w:rPr>
          <w:rFonts w:hint="default"/>
          <w:color w:val="auto"/>
        </w:rPr>
        <w:t>数字人民币跨境支付和国际业务中心</w:t>
      </w:r>
      <w:r>
        <w:rPr>
          <w:rFonts w:hint="eastAsia"/>
          <w:color w:val="auto"/>
          <w:lang w:val="en-US" w:eastAsia="zh-CN"/>
        </w:rPr>
        <w:t>建设</w:t>
      </w:r>
      <w:r>
        <w:rPr>
          <w:rFonts w:hint="default"/>
          <w:color w:val="auto"/>
        </w:rPr>
        <w:t>，</w:t>
      </w:r>
      <w:r>
        <w:rPr>
          <w:rFonts w:hint="eastAsia"/>
          <w:color w:val="auto"/>
          <w:lang w:val="en-US" w:eastAsia="zh-CN"/>
        </w:rPr>
        <w:t>支持多边数字货币桥等重大项目建设，有序拓展跨境支付场景，加强国际交流合作。支持</w:t>
      </w:r>
      <w:r>
        <w:rPr>
          <w:rFonts w:hint="default"/>
          <w:color w:val="auto"/>
        </w:rPr>
        <w:t>人民银行贸易金融区块链平台</w:t>
      </w:r>
      <w:r>
        <w:rPr>
          <w:rFonts w:hint="eastAsia"/>
          <w:color w:val="auto"/>
          <w:lang w:val="en-US" w:eastAsia="zh-CN"/>
        </w:rPr>
        <w:t>建设</w:t>
      </w:r>
      <w:r>
        <w:rPr>
          <w:rFonts w:hint="default"/>
          <w:color w:val="auto"/>
        </w:rPr>
        <w:t>，</w:t>
      </w:r>
      <w:r>
        <w:rPr>
          <w:rFonts w:hint="eastAsia"/>
          <w:color w:val="auto"/>
          <w:lang w:val="en-US" w:eastAsia="zh-CN"/>
        </w:rPr>
        <w:t>鼓励</w:t>
      </w:r>
      <w:r>
        <w:rPr>
          <w:rFonts w:hint="default"/>
          <w:color w:val="auto"/>
        </w:rPr>
        <w:t>数字货币</w:t>
      </w:r>
      <w:r>
        <w:rPr>
          <w:rFonts w:hint="eastAsia"/>
          <w:color w:val="auto"/>
          <w:lang w:eastAsia="zh-CN"/>
        </w:rPr>
        <w:t>、</w:t>
      </w:r>
      <w:r>
        <w:rPr>
          <w:rFonts w:hint="default"/>
          <w:color w:val="auto"/>
        </w:rPr>
        <w:t>区块链技术在</w:t>
      </w:r>
      <w:r>
        <w:rPr>
          <w:rFonts w:hint="eastAsia"/>
          <w:color w:val="auto"/>
          <w:lang w:val="en-US" w:eastAsia="zh-CN"/>
        </w:rPr>
        <w:t>跨境贸易、跨境投融资、资金清算结算等重点领域的研究应用，鼓励结合实体产业发展在深圳落地更多有益场景。</w:t>
      </w:r>
    </w:p>
    <w:tbl>
      <w:tblPr>
        <w:tblStyle w:val="15"/>
        <w:tblpPr w:leftFromText="180" w:rightFromText="180" w:vertAnchor="text" w:tblpXSpec="center" w:tblpY="1"/>
        <w:tblOverlap w:val="never"/>
        <w:tblW w:w="7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7986" w:type="dxa"/>
            <w:tcMar>
              <w:top w:w="57" w:type="dxa"/>
              <w:left w:w="170" w:type="dxa"/>
              <w:bottom w:w="57" w:type="dxa"/>
              <w:right w:w="170" w:type="dxa"/>
            </w:tcMar>
            <w:vAlign w:val="top"/>
          </w:tcPr>
          <w:p>
            <w:pPr>
              <w:pStyle w:val="2"/>
              <w:keepNext w:val="0"/>
              <w:keepLines w:val="0"/>
              <w:pageBreakBefore w:val="0"/>
              <w:widowControl w:val="0"/>
              <w:kinsoku/>
              <w:wordWrap/>
              <w:overflowPunct/>
              <w:topLinePunct w:val="0"/>
              <w:autoSpaceDE/>
              <w:autoSpaceDN/>
              <w:bidi w:val="0"/>
              <w:adjustRightInd/>
              <w:snapToGrid w:val="0"/>
              <w:spacing w:before="219" w:beforeLines="50" w:after="110" w:afterLines="25" w:line="440" w:lineRule="exact"/>
              <w:ind w:left="0" w:leftChars="0" w:firstLine="0" w:firstLineChars="0"/>
              <w:jc w:val="both"/>
              <w:textAlignment w:val="baseline"/>
              <w:rPr>
                <w:rFonts w:hint="eastAsia"/>
                <w:sz w:val="28"/>
                <w:szCs w:val="21"/>
                <w:lang w:val="en-US" w:eastAsia="zh-CN"/>
              </w:rPr>
            </w:pPr>
            <w:r>
              <w:rPr>
                <w:rFonts w:hint="eastAsia"/>
                <w:b/>
                <w:bCs/>
                <w:sz w:val="28"/>
                <w:szCs w:val="21"/>
                <w:lang w:val="en-US" w:eastAsia="zh-CN"/>
              </w:rPr>
              <w:t>专栏3：深圳市数字人民币试点工作</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2020年10月，国内首次数字人民币外部可控试点活动“礼享罗湖数字人民币红包”发布，此后数字人民币“红包模式”在其他试点城市迅速推广。</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两年多来，深圳数字人民币试点工作以满足国内零售支付需求为目标，围绕人民群众的多样化支付需求，不断扩大试点规模，持续探索与应用场景的深度融合，已初步形成了具有一定规模消费群体和应用场景的数字人民币生态体系。</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深圳数字人民币试点工作得到政府部门的大力支持，在公积金缴纳、税款缴纳、非税缴费等领域的应用稳步推进。同时，在疫情防控常态化期间，深圳充分发挥数字人民币“支付即结算”的特性，探索使用数字人民币向小微企业发放政府专项资金，提高了资金周转效率，深圳各有关部门累计向2400余家小微企业发放数字人民币专项资金6.2亿元。此外，为应对新冠疫情、帮助市场主体纾困解难，2022年4月以来，深圳先后开展“乐购深圳”“美好福田”等多轮数字人民币红包活动，并启动使用数字人民币发放购车补贴，全力支持线下消费复苏。</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2022年5月，深圳落地数字人民币预付式消费平台，并首选教培行业进行试点，利用数字人民币智能化优势，实现预收费资金的智能化监管，保障消费者合法权益，助力行业健康发展。</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lang w:val="en-US" w:eastAsia="zh-CN"/>
              </w:rPr>
            </w:pPr>
            <w:r>
              <w:rPr>
                <w:rFonts w:hint="eastAsia" w:ascii="楷体_GB2312" w:hAnsi="楷体_GB2312" w:eastAsia="楷体_GB2312" w:cs="楷体_GB2312"/>
                <w:spacing w:val="-6"/>
                <w:sz w:val="28"/>
                <w:szCs w:val="21"/>
                <w:lang w:val="en-US" w:eastAsia="zh-CN"/>
              </w:rPr>
              <w:t>深圳辖区多家银行通过数字人民币红包、防疫险赠送、消费立减等方式便民惠民，并致力于依托数字人民币优势解决市场痛点、难点问题，比如，2022年5月，农业银行深圳分行与供应链企业联易融公司合作，实现数字人民币在供应链领域的全流程应用，助力企业降低财务管理成本、提升资金使用效率。</w:t>
            </w:r>
          </w:p>
        </w:tc>
      </w:tr>
    </w:tbl>
    <w:p>
      <w:pPr>
        <w:pStyle w:val="4"/>
        <w:pageBreakBefore w:val="0"/>
        <w:widowControl w:val="0"/>
        <w:kinsoku/>
        <w:wordWrap/>
        <w:overflowPunct/>
        <w:topLinePunct w:val="0"/>
        <w:bidi w:val="0"/>
        <w:adjustRightInd/>
        <w:snapToGrid/>
        <w:spacing w:line="600" w:lineRule="exact"/>
        <w:rPr>
          <w:rFonts w:hint="eastAsia"/>
          <w:color w:val="auto"/>
          <w:lang w:eastAsia="zh-CN"/>
        </w:rPr>
      </w:pPr>
      <w:bookmarkStart w:id="32" w:name="_Toc1142378843"/>
      <w:r>
        <w:rPr>
          <w:rFonts w:hint="eastAsia"/>
          <w:color w:val="auto"/>
          <w:lang w:eastAsia="zh-CN"/>
        </w:rPr>
        <w:t>（</w:t>
      </w:r>
      <w:r>
        <w:rPr>
          <w:rFonts w:hint="eastAsia"/>
          <w:color w:val="auto"/>
          <w:lang w:val="en-US" w:eastAsia="zh-CN"/>
        </w:rPr>
        <w:t>三</w:t>
      </w:r>
      <w:r>
        <w:rPr>
          <w:rFonts w:hint="eastAsia"/>
          <w:color w:val="auto"/>
          <w:lang w:eastAsia="zh-CN"/>
        </w:rPr>
        <w:t>）</w:t>
      </w:r>
      <w:r>
        <w:rPr>
          <w:rFonts w:hint="default"/>
          <w:color w:val="auto"/>
          <w:lang w:eastAsia="zh-CN"/>
        </w:rPr>
        <w:t>完善金融科技基础设施</w:t>
      </w:r>
      <w:bookmarkEnd w:id="30"/>
      <w:bookmarkEnd w:id="31"/>
      <w:r>
        <w:rPr>
          <w:rFonts w:hint="eastAsia"/>
          <w:color w:val="auto"/>
          <w:lang w:eastAsia="zh-CN"/>
        </w:rPr>
        <w:t>载体</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Cs w:val="32"/>
          <w:lang w:val="en-US" w:eastAsia="zh-CN"/>
        </w:rPr>
      </w:pPr>
      <w:bookmarkStart w:id="33" w:name="_Toc15325"/>
      <w:r>
        <w:rPr>
          <w:rFonts w:hint="eastAsia"/>
          <w:b/>
          <w:bCs/>
          <w:color w:val="auto"/>
          <w:lang w:eastAsia="zh-CN"/>
        </w:rPr>
        <w:t>1</w:t>
      </w:r>
      <w:r>
        <w:rPr>
          <w:rFonts w:hint="eastAsia"/>
          <w:b/>
          <w:bCs/>
          <w:color w:val="auto"/>
          <w:lang w:val="en-US" w:eastAsia="zh-CN"/>
        </w:rPr>
        <w:t>.</w:t>
      </w:r>
      <w:r>
        <w:rPr>
          <w:rFonts w:hint="default"/>
          <w:b/>
          <w:bCs/>
          <w:color w:val="auto"/>
        </w:rPr>
        <w:t>鼓励金融科技基础设施机构在深发展</w:t>
      </w:r>
      <w:bookmarkEnd w:id="33"/>
      <w:r>
        <w:rPr>
          <w:rFonts w:hint="eastAsia"/>
          <w:b/>
          <w:bCs/>
          <w:color w:val="auto"/>
          <w:lang w:eastAsia="zh-CN"/>
        </w:rPr>
        <w:t>。</w:t>
      </w:r>
      <w:r>
        <w:rPr>
          <w:rFonts w:hint="eastAsia" w:ascii="Times New Roman" w:hAnsi="Times New Roman" w:cs="Times New Roman"/>
          <w:color w:val="auto"/>
          <w:szCs w:val="32"/>
          <w:lang w:val="en-US" w:eastAsia="zh-CN"/>
        </w:rPr>
        <w:t>大力支持深圳国家金融科技测评中心发展</w:t>
      </w:r>
      <w:r>
        <w:rPr>
          <w:rFonts w:hint="default" w:ascii="Times New Roman" w:hAnsi="Times New Roman" w:cs="Times New Roman"/>
          <w:color w:val="auto"/>
          <w:szCs w:val="32"/>
        </w:rPr>
        <w:t>，争取更多</w:t>
      </w:r>
      <w:r>
        <w:rPr>
          <w:rFonts w:hint="eastAsia" w:ascii="Times New Roman" w:hAnsi="Times New Roman" w:cs="Times New Roman"/>
          <w:color w:val="auto"/>
          <w:szCs w:val="32"/>
          <w:lang w:val="en-US" w:eastAsia="zh-CN"/>
        </w:rPr>
        <w:t>具有示范性、带动效应的</w:t>
      </w:r>
      <w:r>
        <w:rPr>
          <w:rFonts w:hint="default" w:ascii="Times New Roman" w:hAnsi="Times New Roman" w:cs="Times New Roman"/>
          <w:color w:val="auto"/>
          <w:szCs w:val="32"/>
        </w:rPr>
        <w:t>金融</w:t>
      </w:r>
      <w:r>
        <w:rPr>
          <w:rFonts w:hint="eastAsia" w:ascii="Times New Roman" w:hAnsi="Times New Roman" w:cs="Times New Roman"/>
          <w:color w:val="auto"/>
          <w:szCs w:val="32"/>
          <w:lang w:val="en-US" w:eastAsia="zh-CN"/>
        </w:rPr>
        <w:t>科技</w:t>
      </w:r>
      <w:r>
        <w:rPr>
          <w:rFonts w:hint="default" w:ascii="Times New Roman" w:hAnsi="Times New Roman" w:cs="Times New Roman"/>
          <w:color w:val="auto"/>
          <w:szCs w:val="32"/>
        </w:rPr>
        <w:t>基础设施</w:t>
      </w:r>
      <w:r>
        <w:rPr>
          <w:rFonts w:hint="eastAsia" w:ascii="Times New Roman" w:hAnsi="Times New Roman" w:cs="Times New Roman"/>
          <w:color w:val="auto"/>
          <w:szCs w:val="32"/>
          <w:lang w:val="en-US" w:eastAsia="zh-CN"/>
        </w:rPr>
        <w:t>和重大平台载体</w:t>
      </w:r>
      <w:r>
        <w:rPr>
          <w:rFonts w:hint="default" w:ascii="Times New Roman" w:hAnsi="Times New Roman" w:cs="Times New Roman"/>
          <w:color w:val="auto"/>
          <w:szCs w:val="32"/>
        </w:rPr>
        <w:t>落户深圳</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支持</w:t>
      </w:r>
      <w:r>
        <w:rPr>
          <w:rFonts w:hint="eastAsia" w:ascii="Times New Roman" w:hAnsi="Times New Roman" w:cs="Times New Roman"/>
          <w:color w:val="auto"/>
          <w:szCs w:val="32"/>
          <w:lang w:val="en-US" w:eastAsia="zh-CN"/>
        </w:rPr>
        <w:t>持牌</w:t>
      </w:r>
      <w:r>
        <w:rPr>
          <w:rFonts w:hint="default" w:ascii="Times New Roman" w:hAnsi="Times New Roman" w:cs="Times New Roman"/>
          <w:color w:val="auto"/>
          <w:szCs w:val="32"/>
        </w:rPr>
        <w:t>金融机构、</w:t>
      </w:r>
      <w:r>
        <w:rPr>
          <w:rFonts w:hint="eastAsia" w:ascii="Times New Roman" w:hAnsi="Times New Roman" w:cs="Times New Roman"/>
          <w:color w:val="auto"/>
          <w:szCs w:val="32"/>
          <w:lang w:val="en-US" w:eastAsia="zh-CN"/>
        </w:rPr>
        <w:t>大型互联网</w:t>
      </w:r>
      <w:r>
        <w:rPr>
          <w:rFonts w:hint="default" w:ascii="Times New Roman" w:hAnsi="Times New Roman" w:cs="Times New Roman"/>
          <w:color w:val="auto"/>
          <w:szCs w:val="32"/>
        </w:rPr>
        <w:t>企业、</w:t>
      </w:r>
      <w:r>
        <w:rPr>
          <w:rFonts w:hint="eastAsia" w:ascii="Times New Roman" w:hAnsi="Times New Roman" w:cs="Times New Roman"/>
          <w:color w:val="auto"/>
          <w:szCs w:val="32"/>
          <w:lang w:val="en-US" w:eastAsia="zh-CN"/>
        </w:rPr>
        <w:t>专业</w:t>
      </w:r>
      <w:r>
        <w:rPr>
          <w:rFonts w:hint="default" w:ascii="Times New Roman" w:hAnsi="Times New Roman" w:cs="Times New Roman"/>
          <w:color w:val="auto"/>
          <w:szCs w:val="32"/>
        </w:rPr>
        <w:t>中介机构等创新主体围绕金融科技关键环节，充分利用最新技术发展成果，</w:t>
      </w:r>
      <w:r>
        <w:rPr>
          <w:rFonts w:hint="eastAsia" w:ascii="Times New Roman" w:hAnsi="Times New Roman" w:cs="Times New Roman"/>
          <w:color w:val="auto"/>
          <w:szCs w:val="32"/>
          <w:lang w:val="en-US" w:eastAsia="zh-CN"/>
        </w:rPr>
        <w:t>聚焦具体场景和特色领域，</w:t>
      </w:r>
      <w:r>
        <w:rPr>
          <w:rFonts w:hint="default" w:ascii="Times New Roman" w:hAnsi="Times New Roman" w:cs="Times New Roman"/>
          <w:color w:val="auto"/>
          <w:szCs w:val="32"/>
        </w:rPr>
        <w:t>建设软硬件配套齐全的金融科技基础设施。</w:t>
      </w:r>
      <w:r>
        <w:rPr>
          <w:rFonts w:hint="eastAsia" w:ascii="Times New Roman" w:hAnsi="Times New Roman" w:cs="Times New Roman"/>
          <w:color w:val="auto"/>
          <w:szCs w:val="32"/>
          <w:lang w:val="en-US" w:eastAsia="zh-CN"/>
        </w:rPr>
        <w:t>围绕金融科技</w:t>
      </w:r>
      <w:r>
        <w:rPr>
          <w:rFonts w:hint="eastAsia" w:ascii="Times New Roman" w:hAnsi="Times New Roman" w:eastAsia="仿宋_GB2312" w:cs="Times New Roman"/>
          <w:color w:val="auto"/>
          <w:szCs w:val="32"/>
          <w:lang w:eastAsia="zh-CN"/>
        </w:rPr>
        <w:t>领域数据安全、网络安全、系统安全</w:t>
      </w:r>
      <w:r>
        <w:rPr>
          <w:rFonts w:hint="eastAsia" w:ascii="Times New Roman" w:hAnsi="Times New Roman" w:cs="Times New Roman"/>
          <w:color w:val="auto"/>
          <w:szCs w:val="32"/>
          <w:lang w:val="en-US" w:eastAsia="zh-CN"/>
        </w:rPr>
        <w:t>等共性问题以及数据治理、资产定价、争议仲裁等关键领域，不断建立健全与金融科技基础设施互为支撑、相互促进的公共服务体系。</w:t>
      </w:r>
    </w:p>
    <w:p>
      <w:pPr>
        <w:pageBreakBefore w:val="0"/>
        <w:widowControl w:val="0"/>
        <w:kinsoku/>
        <w:wordWrap/>
        <w:overflowPunct/>
        <w:topLinePunct w:val="0"/>
        <w:autoSpaceDE/>
        <w:autoSpaceDN/>
        <w:bidi w:val="0"/>
        <w:adjustRightInd/>
        <w:snapToGrid/>
        <w:spacing w:line="560" w:lineRule="exact"/>
        <w:ind w:firstLine="643" w:firstLineChars="200"/>
        <w:rPr>
          <w:rFonts w:hint="eastAsia" w:ascii="Times New Roman" w:hAnsi="Times New Roman" w:eastAsia="仿宋_GB2312" w:cs="Times New Roman"/>
          <w:color w:val="auto"/>
          <w:szCs w:val="32"/>
          <w:lang w:val="en-US" w:eastAsia="zh-CN"/>
        </w:rPr>
      </w:pPr>
      <w:r>
        <w:rPr>
          <w:rFonts w:hint="eastAsia"/>
          <w:b/>
          <w:bCs/>
          <w:color w:val="auto"/>
          <w:lang w:val="en-US" w:eastAsia="zh-CN"/>
        </w:rPr>
        <w:t>2.</w:t>
      </w:r>
      <w:r>
        <w:rPr>
          <w:rFonts w:hint="default"/>
          <w:b/>
          <w:bCs/>
          <w:color w:val="auto"/>
        </w:rPr>
        <w:t>打造数据开放共享与企业服务平台</w:t>
      </w:r>
      <w:r>
        <w:rPr>
          <w:rFonts w:hint="eastAsia"/>
          <w:b/>
          <w:bCs/>
          <w:color w:val="auto"/>
          <w:lang w:eastAsia="zh-CN"/>
        </w:rPr>
        <w:t>。</w:t>
      </w:r>
      <w:r>
        <w:rPr>
          <w:rFonts w:hint="default" w:ascii="Times New Roman" w:hAnsi="Times New Roman" w:cs="Times New Roman"/>
          <w:color w:val="auto"/>
          <w:szCs w:val="32"/>
        </w:rPr>
        <w:t>加快推进深圳市数据交易场所建设，</w:t>
      </w:r>
      <w:r>
        <w:rPr>
          <w:rFonts w:hint="eastAsia" w:ascii="Times New Roman" w:hAnsi="Times New Roman" w:cs="Times New Roman"/>
          <w:color w:val="auto"/>
          <w:szCs w:val="32"/>
          <w:lang w:val="en-US" w:eastAsia="zh-CN"/>
        </w:rPr>
        <w:t>逐步建立健全数据权益、交易流通、跨境传输和安全保护等基础性制度规范，支持</w:t>
      </w:r>
      <w:r>
        <w:rPr>
          <w:rFonts w:hint="default" w:ascii="Times New Roman" w:hAnsi="Times New Roman" w:cs="Times New Roman"/>
          <w:color w:val="auto"/>
          <w:szCs w:val="32"/>
        </w:rPr>
        <w:t>“数字政府+金融科技”模式创新，打造金融业</w:t>
      </w:r>
      <w:r>
        <w:rPr>
          <w:rFonts w:hint="eastAsia" w:ascii="Times New Roman" w:hAnsi="Times New Roman" w:cs="Times New Roman"/>
          <w:color w:val="auto"/>
          <w:szCs w:val="32"/>
          <w:lang w:val="en-US" w:eastAsia="zh-CN"/>
        </w:rPr>
        <w:t>等</w:t>
      </w:r>
      <w:r>
        <w:rPr>
          <w:rFonts w:hint="default" w:ascii="Times New Roman" w:hAnsi="Times New Roman" w:cs="Times New Roman"/>
          <w:color w:val="auto"/>
          <w:szCs w:val="32"/>
        </w:rPr>
        <w:t>数据要素融合应用平台。</w:t>
      </w:r>
      <w:r>
        <w:rPr>
          <w:rFonts w:hint="eastAsia" w:ascii="Times New Roman" w:hAnsi="Times New Roman" w:cs="Times New Roman"/>
          <w:color w:val="auto"/>
          <w:szCs w:val="32"/>
          <w:lang w:val="en-US" w:eastAsia="zh-CN"/>
        </w:rPr>
        <w:t>进一步</w:t>
      </w:r>
      <w:r>
        <w:rPr>
          <w:rFonts w:hint="default" w:ascii="Times New Roman" w:hAnsi="Times New Roman" w:cs="Times New Roman"/>
          <w:color w:val="auto"/>
          <w:szCs w:val="32"/>
        </w:rPr>
        <w:t>整合工商、税务、社保、公积金、水电气等</w:t>
      </w:r>
      <w:r>
        <w:rPr>
          <w:rFonts w:hint="eastAsia" w:ascii="Times New Roman" w:hAnsi="Times New Roman" w:cs="Times New Roman"/>
          <w:color w:val="auto"/>
          <w:szCs w:val="32"/>
          <w:lang w:val="en-US" w:eastAsia="zh-CN"/>
        </w:rPr>
        <w:t>政务</w:t>
      </w:r>
      <w:r>
        <w:rPr>
          <w:rFonts w:hint="default" w:ascii="Times New Roman" w:hAnsi="Times New Roman" w:cs="Times New Roman"/>
          <w:color w:val="auto"/>
          <w:szCs w:val="32"/>
        </w:rPr>
        <w:t>数据，</w:t>
      </w:r>
      <w:r>
        <w:rPr>
          <w:rFonts w:hint="eastAsia" w:ascii="Times New Roman" w:hAnsi="Times New Roman" w:cs="Times New Roman"/>
          <w:color w:val="auto"/>
          <w:szCs w:val="32"/>
          <w:lang w:val="en-US" w:eastAsia="zh-CN"/>
        </w:rPr>
        <w:t>帮助</w:t>
      </w:r>
      <w:r>
        <w:rPr>
          <w:rFonts w:hint="default" w:ascii="Times New Roman" w:hAnsi="Times New Roman" w:cs="Times New Roman"/>
          <w:color w:val="auto"/>
          <w:szCs w:val="32"/>
        </w:rPr>
        <w:t>企业信用评级和风险画像，</w:t>
      </w:r>
      <w:r>
        <w:rPr>
          <w:rFonts w:hint="eastAsia" w:ascii="Times New Roman" w:hAnsi="Times New Roman" w:cs="Times New Roman"/>
          <w:color w:val="auto"/>
          <w:szCs w:val="32"/>
          <w:lang w:val="en-US" w:eastAsia="zh-CN"/>
        </w:rPr>
        <w:t>支持与银证保各类</w:t>
      </w:r>
      <w:r>
        <w:rPr>
          <w:rFonts w:hint="default" w:ascii="Times New Roman" w:hAnsi="Times New Roman" w:cs="Times New Roman"/>
          <w:color w:val="auto"/>
          <w:szCs w:val="32"/>
        </w:rPr>
        <w:t>金融资源</w:t>
      </w:r>
      <w:r>
        <w:rPr>
          <w:rFonts w:hint="eastAsia" w:ascii="Times New Roman" w:hAnsi="Times New Roman" w:cs="Times New Roman"/>
          <w:color w:val="auto"/>
          <w:szCs w:val="32"/>
          <w:lang w:val="en-US" w:eastAsia="zh-CN"/>
        </w:rPr>
        <w:t>要素对接</w:t>
      </w:r>
      <w:r>
        <w:rPr>
          <w:rFonts w:hint="default" w:ascii="Times New Roman" w:hAnsi="Times New Roman" w:cs="Times New Roman"/>
          <w:color w:val="auto"/>
          <w:szCs w:val="32"/>
        </w:rPr>
        <w:t>，打通政银企数据壁垒，</w:t>
      </w:r>
      <w:r>
        <w:rPr>
          <w:rFonts w:hint="eastAsia" w:ascii="Times New Roman" w:hAnsi="Times New Roman" w:cs="Times New Roman"/>
          <w:color w:val="auto"/>
          <w:szCs w:val="32"/>
          <w:lang w:val="en-US" w:eastAsia="zh-CN"/>
        </w:rPr>
        <w:t>强化</w:t>
      </w:r>
      <w:r>
        <w:rPr>
          <w:rFonts w:hint="default" w:ascii="Times New Roman" w:hAnsi="Times New Roman" w:cs="Times New Roman"/>
          <w:color w:val="auto"/>
          <w:szCs w:val="32"/>
        </w:rPr>
        <w:t>基础</w:t>
      </w:r>
      <w:r>
        <w:rPr>
          <w:rFonts w:hint="eastAsia" w:ascii="Times New Roman" w:hAnsi="Times New Roman" w:cs="Times New Roman"/>
          <w:color w:val="auto"/>
          <w:szCs w:val="32"/>
          <w:lang w:val="en-US" w:eastAsia="zh-CN"/>
        </w:rPr>
        <w:t>数据</w:t>
      </w:r>
      <w:r>
        <w:rPr>
          <w:rFonts w:hint="default" w:ascii="Times New Roman" w:hAnsi="Times New Roman" w:cs="Times New Roman"/>
          <w:color w:val="auto"/>
          <w:szCs w:val="32"/>
        </w:rPr>
        <w:t>支撑。</w:t>
      </w:r>
      <w:r>
        <w:rPr>
          <w:rFonts w:hint="eastAsia" w:ascii="Times New Roman" w:hAnsi="Times New Roman" w:cs="Times New Roman"/>
          <w:color w:val="auto"/>
          <w:szCs w:val="32"/>
          <w:lang w:val="en-US" w:eastAsia="zh-CN"/>
        </w:rPr>
        <w:t>支持运用</w:t>
      </w:r>
      <w:r>
        <w:rPr>
          <w:rFonts w:hint="default" w:ascii="Times New Roman" w:hAnsi="Times New Roman" w:cs="Times New Roman"/>
          <w:color w:val="auto"/>
          <w:szCs w:val="32"/>
        </w:rPr>
        <w:t>隐私计算、区块链等</w:t>
      </w:r>
      <w:r>
        <w:rPr>
          <w:rFonts w:hint="eastAsia" w:ascii="Times New Roman" w:hAnsi="Times New Roman" w:cs="Times New Roman"/>
          <w:color w:val="auto"/>
          <w:szCs w:val="32"/>
          <w:lang w:val="en-US" w:eastAsia="zh-CN"/>
        </w:rPr>
        <w:t>关键技术</w:t>
      </w:r>
      <w:r>
        <w:rPr>
          <w:rFonts w:hint="default" w:ascii="Times New Roman" w:hAnsi="Times New Roman" w:cs="Times New Roman"/>
          <w:color w:val="auto"/>
          <w:szCs w:val="32"/>
        </w:rPr>
        <w:t>，实现数据流通的“可用不可见、可控可计量”，为数据供需双方提供可信的数据融合计算环境</w:t>
      </w:r>
      <w:r>
        <w:rPr>
          <w:rFonts w:hint="eastAsia" w:ascii="Times New Roman" w:hAnsi="Times New Roman" w:cs="Times New Roman"/>
          <w:color w:val="auto"/>
          <w:szCs w:val="32"/>
          <w:lang w:eastAsia="zh-CN"/>
        </w:rPr>
        <w:t>。</w:t>
      </w:r>
    </w:p>
    <w:p>
      <w:pPr>
        <w:pageBreakBefore w:val="0"/>
        <w:widowControl w:val="0"/>
        <w:kinsoku/>
        <w:wordWrap/>
        <w:overflowPunct/>
        <w:topLinePunct w:val="0"/>
        <w:autoSpaceDE/>
        <w:autoSpaceDN/>
        <w:bidi w:val="0"/>
        <w:adjustRightInd/>
        <w:snapToGrid/>
        <w:spacing w:line="560" w:lineRule="exact"/>
        <w:ind w:firstLine="643" w:firstLineChars="200"/>
        <w:rPr>
          <w:rFonts w:hint="eastAsia"/>
          <w:b/>
          <w:bCs/>
          <w:color w:val="auto"/>
        </w:rPr>
      </w:pPr>
      <w:bookmarkStart w:id="34" w:name="_Toc21285"/>
      <w:r>
        <w:rPr>
          <w:rFonts w:hint="eastAsia"/>
          <w:b/>
          <w:bCs/>
          <w:color w:val="auto"/>
          <w:lang w:val="en-US" w:eastAsia="zh-CN"/>
        </w:rPr>
        <w:t>3.不断</w:t>
      </w:r>
      <w:r>
        <w:rPr>
          <w:rFonts w:hint="default"/>
          <w:b/>
          <w:bCs/>
          <w:color w:val="auto"/>
        </w:rPr>
        <w:t>丰富金融科技指数体系</w:t>
      </w:r>
      <w:bookmarkEnd w:id="34"/>
      <w:r>
        <w:rPr>
          <w:rFonts w:hint="eastAsia"/>
          <w:b/>
          <w:bCs/>
          <w:color w:val="auto"/>
          <w:lang w:eastAsia="zh-CN"/>
        </w:rPr>
        <w:t>。</w:t>
      </w:r>
      <w:r>
        <w:rPr>
          <w:rFonts w:hint="default"/>
          <w:color w:val="auto"/>
        </w:rPr>
        <w:t>扩大“国证香蜜湖金融科技指数”影响力，鼓励业界开发更多挂钩和跟踪该指数的金融产品，推动将其纳入国际指数和资讯平台。</w:t>
      </w:r>
      <w:r>
        <w:rPr>
          <w:rFonts w:hint="eastAsia"/>
          <w:color w:val="auto"/>
          <w:lang w:val="en-US" w:eastAsia="zh-CN"/>
        </w:rPr>
        <w:t>支持编制金融科技总指数，科学客观地衡量和监测本地金融科技发展现状，为优化改进政策环境提供参考；支持</w:t>
      </w:r>
      <w:r>
        <w:rPr>
          <w:rFonts w:hint="default"/>
          <w:color w:val="auto"/>
        </w:rPr>
        <w:t>编制金融科技子类别指数，</w:t>
      </w:r>
      <w:r>
        <w:rPr>
          <w:rFonts w:hint="eastAsia"/>
          <w:color w:val="auto"/>
          <w:lang w:val="en-US" w:eastAsia="zh-CN"/>
        </w:rPr>
        <w:t>推动金融科技龙头企业做优做强，促进金融科技重点领域规范发展。积极参与国家金融科技标准体系、指数体系建设，加强金融科技指数在宏观形势研判、风险预警评估等拓展应用。</w:t>
      </w:r>
    </w:p>
    <w:p>
      <w:pPr>
        <w:pageBreakBefore w:val="0"/>
        <w:widowControl w:val="0"/>
        <w:kinsoku/>
        <w:wordWrap/>
        <w:overflowPunct/>
        <w:topLinePunct w:val="0"/>
        <w:autoSpaceDE/>
        <w:autoSpaceDN/>
        <w:bidi w:val="0"/>
        <w:adjustRightInd/>
        <w:snapToGrid/>
        <w:spacing w:line="560" w:lineRule="exact"/>
        <w:ind w:firstLine="643" w:firstLineChars="200"/>
        <w:rPr>
          <w:rFonts w:hint="default"/>
          <w:color w:val="auto"/>
          <w:lang w:val="en-US" w:eastAsia="zh-CN"/>
        </w:rPr>
      </w:pPr>
      <w:bookmarkStart w:id="35" w:name="_Toc30961"/>
      <w:r>
        <w:rPr>
          <w:rFonts w:hint="eastAsia"/>
          <w:b/>
          <w:bCs/>
          <w:color w:val="auto"/>
          <w:lang w:val="en-US" w:eastAsia="zh-CN"/>
        </w:rPr>
        <w:t>4.</w:t>
      </w:r>
      <w:r>
        <w:rPr>
          <w:rFonts w:hint="default"/>
          <w:b/>
          <w:bCs/>
          <w:color w:val="auto"/>
        </w:rPr>
        <w:t>支持金融科技实验室</w:t>
      </w:r>
      <w:r>
        <w:rPr>
          <w:rFonts w:hint="eastAsia"/>
          <w:b/>
          <w:bCs/>
          <w:color w:val="auto"/>
          <w:lang w:eastAsia="zh-CN"/>
        </w:rPr>
        <w:t>、</w:t>
      </w:r>
      <w:r>
        <w:rPr>
          <w:rFonts w:hint="eastAsia"/>
          <w:b/>
          <w:bCs/>
          <w:color w:val="auto"/>
          <w:lang w:val="en-US" w:eastAsia="zh-CN"/>
        </w:rPr>
        <w:t>研究中心建设</w:t>
      </w:r>
      <w:bookmarkEnd w:id="35"/>
      <w:r>
        <w:rPr>
          <w:rFonts w:hint="eastAsia"/>
          <w:b/>
          <w:bCs/>
          <w:color w:val="auto"/>
          <w:lang w:eastAsia="zh-CN"/>
        </w:rPr>
        <w:t>。</w:t>
      </w:r>
      <w:r>
        <w:rPr>
          <w:rFonts w:hint="eastAsia"/>
          <w:color w:val="auto"/>
          <w:lang w:eastAsia="zh-CN"/>
        </w:rPr>
        <w:t>支持金融机构与深圳大学、南方科技大学、中科院深圳理工大学、香港中文大学（深圳）等</w:t>
      </w:r>
      <w:r>
        <w:rPr>
          <w:rFonts w:hint="eastAsia"/>
          <w:color w:val="auto"/>
          <w:lang w:val="en-US" w:eastAsia="zh-CN"/>
        </w:rPr>
        <w:t>高校合作</w:t>
      </w:r>
      <w:r>
        <w:rPr>
          <w:rFonts w:hint="eastAsia"/>
          <w:color w:val="auto"/>
          <w:lang w:eastAsia="zh-CN"/>
        </w:rPr>
        <w:t>，联合建设若干高层次金融科技实验室，在监管部门指导下，对</w:t>
      </w:r>
      <w:r>
        <w:rPr>
          <w:rFonts w:hint="eastAsia"/>
          <w:color w:val="auto"/>
          <w:lang w:val="en-US" w:eastAsia="zh-CN"/>
        </w:rPr>
        <w:t>金融科技</w:t>
      </w:r>
      <w:r>
        <w:rPr>
          <w:rFonts w:hint="eastAsia"/>
          <w:color w:val="auto"/>
          <w:lang w:eastAsia="zh-CN"/>
        </w:rPr>
        <w:t>新技术、新服务、新理念</w:t>
      </w:r>
      <w:r>
        <w:rPr>
          <w:rFonts w:hint="eastAsia"/>
          <w:color w:val="auto"/>
          <w:lang w:val="en-US" w:eastAsia="zh-CN"/>
        </w:rPr>
        <w:t>等</w:t>
      </w:r>
      <w:r>
        <w:rPr>
          <w:rFonts w:hint="eastAsia"/>
          <w:color w:val="auto"/>
          <w:lang w:eastAsia="zh-CN"/>
        </w:rPr>
        <w:t>进行应用测试。支持</w:t>
      </w:r>
      <w:r>
        <w:rPr>
          <w:rFonts w:hint="eastAsia"/>
          <w:color w:val="auto"/>
          <w:lang w:val="en-US" w:eastAsia="zh-CN"/>
        </w:rPr>
        <w:t>在深</w:t>
      </w:r>
      <w:r>
        <w:rPr>
          <w:rFonts w:hint="eastAsia"/>
          <w:color w:val="auto"/>
          <w:lang w:eastAsia="zh-CN"/>
        </w:rPr>
        <w:t>高校、科研院所及其他机构</w:t>
      </w:r>
      <w:r>
        <w:rPr>
          <w:rFonts w:hint="eastAsia"/>
          <w:color w:val="auto"/>
          <w:lang w:val="en-US" w:eastAsia="zh-CN"/>
        </w:rPr>
        <w:t>在金融科技领域的</w:t>
      </w:r>
      <w:r>
        <w:rPr>
          <w:rFonts w:hint="eastAsia"/>
          <w:color w:val="auto"/>
          <w:lang w:eastAsia="zh-CN"/>
        </w:rPr>
        <w:t>前沿问题、共性技术、治理体系、法规建设、信用服务、标准规范以及消费者保护等方面加强研究，</w:t>
      </w:r>
      <w:r>
        <w:rPr>
          <w:rFonts w:hint="eastAsia"/>
          <w:color w:val="auto"/>
          <w:lang w:val="en-US" w:eastAsia="zh-CN"/>
        </w:rPr>
        <w:t>为</w:t>
      </w:r>
      <w:r>
        <w:rPr>
          <w:rFonts w:hint="eastAsia"/>
          <w:color w:val="auto"/>
          <w:lang w:eastAsia="zh-CN"/>
        </w:rPr>
        <w:t>金融科技</w:t>
      </w:r>
      <w:r>
        <w:rPr>
          <w:rFonts w:hint="eastAsia"/>
          <w:color w:val="auto"/>
          <w:lang w:val="en-US" w:eastAsia="zh-CN"/>
        </w:rPr>
        <w:t>可持续发展提供</w:t>
      </w:r>
      <w:r>
        <w:rPr>
          <w:rFonts w:hint="eastAsia"/>
          <w:color w:val="auto"/>
          <w:lang w:eastAsia="zh-CN"/>
        </w:rPr>
        <w:t>智库咨询。</w:t>
      </w:r>
      <w:r>
        <w:rPr>
          <w:rFonts w:hint="eastAsia"/>
          <w:color w:val="auto"/>
          <w:lang w:val="en-US" w:eastAsia="zh-CN"/>
        </w:rPr>
        <w:t>鼓励各区发挥政策和资源优势，争取国家级金融科技实验室、研究中心等在深落地。</w:t>
      </w:r>
    </w:p>
    <w:p>
      <w:pPr>
        <w:pStyle w:val="4"/>
        <w:pageBreakBefore w:val="0"/>
        <w:widowControl w:val="0"/>
        <w:kinsoku/>
        <w:wordWrap/>
        <w:overflowPunct/>
        <w:topLinePunct w:val="0"/>
        <w:autoSpaceDE/>
        <w:autoSpaceDN/>
        <w:bidi w:val="0"/>
        <w:adjustRightInd/>
        <w:snapToGrid/>
        <w:spacing w:line="560" w:lineRule="exact"/>
        <w:rPr>
          <w:rFonts w:hint="eastAsia"/>
          <w:color w:val="auto"/>
          <w:lang w:val="en-US" w:eastAsia="zh-CN"/>
        </w:rPr>
      </w:pPr>
      <w:bookmarkStart w:id="36" w:name="_Toc1140215956"/>
      <w:bookmarkStart w:id="37" w:name="_Toc31879"/>
      <w:bookmarkStart w:id="38" w:name="_Toc11937"/>
      <w:r>
        <w:rPr>
          <w:rFonts w:hint="eastAsia"/>
          <w:color w:val="auto"/>
          <w:lang w:eastAsia="zh-CN"/>
        </w:rPr>
        <w:t>（</w:t>
      </w:r>
      <w:r>
        <w:rPr>
          <w:rFonts w:hint="eastAsia"/>
          <w:color w:val="auto"/>
          <w:lang w:val="en-US" w:eastAsia="zh-CN"/>
        </w:rPr>
        <w:t>四</w:t>
      </w:r>
      <w:r>
        <w:rPr>
          <w:rFonts w:hint="eastAsia"/>
          <w:color w:val="auto"/>
          <w:lang w:eastAsia="zh-CN"/>
        </w:rPr>
        <w:t>）</w:t>
      </w:r>
      <w:bookmarkStart w:id="39" w:name="_Toc17095"/>
      <w:bookmarkStart w:id="40" w:name="_Toc21549"/>
      <w:r>
        <w:rPr>
          <w:rFonts w:hint="default"/>
          <w:color w:val="auto"/>
          <w:lang w:eastAsia="zh-CN"/>
        </w:rPr>
        <w:t>支持金融科技技术研发</w:t>
      </w:r>
      <w:bookmarkEnd w:id="39"/>
      <w:bookmarkEnd w:id="40"/>
      <w:r>
        <w:rPr>
          <w:rFonts w:hint="eastAsia"/>
          <w:color w:val="auto"/>
          <w:lang w:val="en-US" w:eastAsia="zh-CN"/>
        </w:rPr>
        <w:t>应用</w:t>
      </w:r>
      <w:bookmarkEnd w:id="36"/>
    </w:p>
    <w:p>
      <w:pPr>
        <w:pStyle w:val="2"/>
        <w:pageBreakBefore w:val="0"/>
        <w:widowControl w:val="0"/>
        <w:kinsoku/>
        <w:wordWrap/>
        <w:overflowPunct/>
        <w:topLinePunct w:val="0"/>
        <w:autoSpaceDE/>
        <w:autoSpaceDN/>
        <w:bidi w:val="0"/>
        <w:adjustRightInd/>
        <w:spacing w:line="560" w:lineRule="exact"/>
        <w:rPr>
          <w:rFonts w:hint="default"/>
          <w:lang w:val="en-US"/>
        </w:rPr>
      </w:pPr>
      <w:bookmarkStart w:id="41" w:name="_Toc3604"/>
      <w:r>
        <w:rPr>
          <w:rFonts w:hint="eastAsia"/>
          <w:b/>
          <w:bCs/>
          <w:color w:val="auto"/>
          <w:lang w:val="en-US" w:eastAsia="zh-CN"/>
        </w:rPr>
        <w:t>1.加大</w:t>
      </w:r>
      <w:r>
        <w:rPr>
          <w:rFonts w:hint="default"/>
          <w:b/>
          <w:bCs/>
          <w:color w:val="auto"/>
        </w:rPr>
        <w:t>金融科技基础研究支持力度</w:t>
      </w:r>
      <w:bookmarkEnd w:id="41"/>
      <w:r>
        <w:rPr>
          <w:rFonts w:hint="eastAsia"/>
          <w:b/>
          <w:bCs/>
          <w:color w:val="auto"/>
          <w:lang w:eastAsia="zh-CN"/>
        </w:rPr>
        <w:t>。</w:t>
      </w:r>
      <w:r>
        <w:rPr>
          <w:rFonts w:hint="eastAsia"/>
          <w:color w:val="auto"/>
          <w:lang w:val="en-US" w:eastAsia="zh-CN"/>
        </w:rPr>
        <w:t>不断完善</w:t>
      </w:r>
      <w:r>
        <w:rPr>
          <w:rFonts w:hint="default"/>
          <w:color w:val="auto"/>
        </w:rPr>
        <w:t>财政资金投入模式，</w:t>
      </w:r>
      <w:r>
        <w:rPr>
          <w:rFonts w:hint="eastAsia"/>
          <w:color w:val="auto"/>
          <w:lang w:val="en-US" w:eastAsia="zh-CN"/>
        </w:rPr>
        <w:t>有效</w:t>
      </w:r>
      <w:r>
        <w:rPr>
          <w:rFonts w:hint="eastAsia"/>
          <w:b w:val="0"/>
          <w:bCs w:val="0"/>
          <w:color w:val="auto"/>
          <w:lang w:val="en-US" w:eastAsia="zh-CN"/>
        </w:rPr>
        <w:t>发挥高等院校、行业组织、孵化平台等作用，通过揭榜挂帅、赛马等机制，引导</w:t>
      </w:r>
      <w:r>
        <w:rPr>
          <w:rFonts w:hint="eastAsia"/>
          <w:color w:val="auto"/>
          <w:lang w:val="en-US" w:eastAsia="zh-CN"/>
        </w:rPr>
        <w:t>加大</w:t>
      </w:r>
      <w:r>
        <w:rPr>
          <w:rFonts w:hint="default"/>
          <w:color w:val="auto"/>
        </w:rPr>
        <w:t>对金融科技</w:t>
      </w:r>
      <w:r>
        <w:rPr>
          <w:rFonts w:hint="default"/>
        </w:rPr>
        <w:t>基础技术、底层关键技术</w:t>
      </w:r>
      <w:r>
        <w:rPr>
          <w:rFonts w:hint="eastAsia"/>
          <w:lang w:val="en-US" w:eastAsia="zh-CN"/>
        </w:rPr>
        <w:t>及</w:t>
      </w:r>
      <w:r>
        <w:rPr>
          <w:rFonts w:hint="default"/>
        </w:rPr>
        <w:t>前沿技术研究</w:t>
      </w:r>
      <w:r>
        <w:rPr>
          <w:rFonts w:hint="default"/>
          <w:color w:val="auto"/>
        </w:rPr>
        <w:t>的支持力度。</w:t>
      </w:r>
      <w:r>
        <w:rPr>
          <w:rFonts w:hint="eastAsia"/>
          <w:color w:val="auto"/>
          <w:lang w:val="en-US" w:eastAsia="zh-CN"/>
        </w:rPr>
        <w:t>支持</w:t>
      </w:r>
      <w:r>
        <w:rPr>
          <w:rFonts w:hint="default"/>
          <w:color w:val="auto"/>
        </w:rPr>
        <w:t>投资机构与科研院所</w:t>
      </w:r>
      <w:r>
        <w:rPr>
          <w:rFonts w:hint="eastAsia"/>
          <w:color w:val="auto"/>
          <w:lang w:eastAsia="zh-CN"/>
        </w:rPr>
        <w:t>、</w:t>
      </w:r>
      <w:r>
        <w:rPr>
          <w:rFonts w:hint="eastAsia"/>
          <w:color w:val="auto"/>
          <w:lang w:val="en-US" w:eastAsia="zh-CN"/>
        </w:rPr>
        <w:t>试验室、研究中心等加强</w:t>
      </w:r>
      <w:r>
        <w:rPr>
          <w:rFonts w:hint="default"/>
          <w:color w:val="auto"/>
        </w:rPr>
        <w:t>对接</w:t>
      </w:r>
      <w:r>
        <w:rPr>
          <w:rFonts w:hint="eastAsia"/>
          <w:color w:val="auto"/>
          <w:lang w:eastAsia="zh-CN"/>
        </w:rPr>
        <w:t>，</w:t>
      </w:r>
      <w:r>
        <w:rPr>
          <w:rFonts w:hint="eastAsia"/>
          <w:color w:val="auto"/>
          <w:lang w:val="en-US" w:eastAsia="zh-CN"/>
        </w:rPr>
        <w:t>建立科学合理的</w:t>
      </w:r>
      <w:r>
        <w:rPr>
          <w:rFonts w:hint="default"/>
          <w:color w:val="auto"/>
        </w:rPr>
        <w:t>收益分配机制</w:t>
      </w:r>
      <w:r>
        <w:rPr>
          <w:rFonts w:hint="eastAsia"/>
          <w:color w:val="auto"/>
          <w:lang w:eastAsia="zh-CN"/>
        </w:rPr>
        <w:t>，</w:t>
      </w:r>
      <w:r>
        <w:rPr>
          <w:rFonts w:hint="eastAsia"/>
          <w:color w:val="auto"/>
          <w:lang w:val="en-US" w:eastAsia="zh-CN"/>
        </w:rPr>
        <w:t>引导更多</w:t>
      </w:r>
      <w:r>
        <w:rPr>
          <w:rFonts w:hint="default"/>
          <w:color w:val="auto"/>
        </w:rPr>
        <w:t>社会资本参与金融科技基础研究与应用研究</w:t>
      </w:r>
      <w:r>
        <w:rPr>
          <w:rFonts w:hint="default"/>
        </w:rPr>
        <w:t>。</w:t>
      </w:r>
      <w:r>
        <w:rPr>
          <w:rFonts w:hint="eastAsia"/>
          <w:lang w:val="en-US" w:eastAsia="zh-CN"/>
        </w:rPr>
        <w:t>鼓励</w:t>
      </w:r>
      <w:r>
        <w:rPr>
          <w:rFonts w:hint="default"/>
        </w:rPr>
        <w:t>有共性问题的企业进行技术联合攻关，在人工智能、云计算、分布式低时延技术等领域</w:t>
      </w:r>
      <w:r>
        <w:rPr>
          <w:rFonts w:hint="eastAsia"/>
          <w:lang w:val="en-US" w:eastAsia="zh-CN"/>
        </w:rPr>
        <w:t>加快</w:t>
      </w:r>
      <w:r>
        <w:rPr>
          <w:rFonts w:hint="default"/>
        </w:rPr>
        <w:t>形成知识产权和专利</w:t>
      </w:r>
      <w:r>
        <w:rPr>
          <w:rFonts w:hint="eastAsia"/>
          <w:lang w:val="en-US" w:eastAsia="zh-CN"/>
        </w:rPr>
        <w:t>成果。鼓励规范安全使用开源技术，以应用场景为牵引推动关键核心技术迭代完善。</w:t>
      </w:r>
    </w:p>
    <w:p>
      <w:pPr>
        <w:pageBreakBefore w:val="0"/>
        <w:widowControl w:val="0"/>
        <w:kinsoku/>
        <w:wordWrap/>
        <w:overflowPunct/>
        <w:topLinePunct w:val="0"/>
        <w:autoSpaceDE/>
        <w:autoSpaceDN/>
        <w:bidi w:val="0"/>
        <w:adjustRightInd/>
        <w:snapToGrid/>
        <w:spacing w:line="560" w:lineRule="exact"/>
        <w:ind w:firstLine="643" w:firstLineChars="200"/>
        <w:rPr>
          <w:rFonts w:hint="default" w:eastAsia="仿宋_GB2312"/>
          <w:color w:val="auto"/>
          <w:lang w:val="en-US" w:eastAsia="zh-CN"/>
        </w:rPr>
      </w:pPr>
      <w:bookmarkStart w:id="42" w:name="_Toc6444"/>
      <w:r>
        <w:rPr>
          <w:rFonts w:hint="eastAsia"/>
          <w:b/>
          <w:bCs/>
          <w:color w:val="auto"/>
          <w:lang w:val="en-US" w:eastAsia="zh-CN"/>
        </w:rPr>
        <w:t>2.</w:t>
      </w:r>
      <w:r>
        <w:rPr>
          <w:rFonts w:hint="default"/>
          <w:b/>
          <w:bCs/>
          <w:color w:val="auto"/>
        </w:rPr>
        <w:t>推动深港</w:t>
      </w:r>
      <w:r>
        <w:rPr>
          <w:rFonts w:hint="eastAsia"/>
          <w:b/>
          <w:bCs/>
          <w:color w:val="auto"/>
          <w:lang w:val="en-US" w:eastAsia="zh-CN"/>
        </w:rPr>
        <w:t>金融科技</w:t>
      </w:r>
      <w:r>
        <w:rPr>
          <w:rFonts w:hint="default"/>
          <w:b/>
          <w:bCs/>
          <w:color w:val="auto"/>
        </w:rPr>
        <w:t>产学研深度合作</w:t>
      </w:r>
      <w:bookmarkEnd w:id="42"/>
      <w:r>
        <w:rPr>
          <w:rFonts w:hint="eastAsia"/>
          <w:b/>
          <w:bCs/>
          <w:color w:val="auto"/>
          <w:lang w:eastAsia="zh-CN"/>
        </w:rPr>
        <w:t>。</w:t>
      </w:r>
      <w:r>
        <w:rPr>
          <w:rFonts w:hint="eastAsia"/>
          <w:b w:val="0"/>
          <w:bCs w:val="0"/>
          <w:color w:val="auto"/>
          <w:lang w:val="en-US" w:eastAsia="zh-CN"/>
        </w:rPr>
        <w:t>依托前海深港现代服务业合作区、河套深港科技创新合作区、大运深港国际科教城建设，支持香港机构在深圳新设或共建金融科技实验室、金融科技跨境研究机构</w:t>
      </w:r>
      <w:r>
        <w:rPr>
          <w:rFonts w:hint="default"/>
          <w:color w:val="auto"/>
        </w:rPr>
        <w:t>等</w:t>
      </w:r>
      <w:r>
        <w:rPr>
          <w:rFonts w:hint="eastAsia"/>
          <w:color w:val="auto"/>
          <w:lang w:eastAsia="zh-CN"/>
        </w:rPr>
        <w:t>，</w:t>
      </w:r>
      <w:r>
        <w:rPr>
          <w:rFonts w:hint="eastAsia"/>
          <w:color w:val="auto"/>
          <w:lang w:val="en-US" w:eastAsia="zh-CN"/>
        </w:rPr>
        <w:t>支持</w:t>
      </w:r>
      <w:r>
        <w:rPr>
          <w:rFonts w:hint="eastAsia"/>
          <w:color w:val="auto"/>
          <w:lang w:eastAsia="zh-CN"/>
        </w:rPr>
        <w:t>深圳金融科技类企业在香港</w:t>
      </w:r>
      <w:r>
        <w:rPr>
          <w:rFonts w:hint="eastAsia"/>
          <w:color w:val="auto"/>
          <w:lang w:val="en-US" w:eastAsia="zh-CN"/>
        </w:rPr>
        <w:t>投资</w:t>
      </w:r>
      <w:r>
        <w:rPr>
          <w:rFonts w:hint="eastAsia"/>
          <w:color w:val="auto"/>
          <w:lang w:eastAsia="zh-CN"/>
        </w:rPr>
        <w:t>布局，</w:t>
      </w:r>
      <w:r>
        <w:rPr>
          <w:rFonts w:hint="eastAsia"/>
          <w:color w:val="auto"/>
          <w:lang w:val="en-US" w:eastAsia="zh-CN"/>
        </w:rPr>
        <w:t>共同</w:t>
      </w:r>
      <w:r>
        <w:rPr>
          <w:rFonts w:hint="default"/>
          <w:color w:val="auto"/>
        </w:rPr>
        <w:t>打造</w:t>
      </w:r>
      <w:r>
        <w:rPr>
          <w:rFonts w:hint="eastAsia"/>
          <w:color w:val="auto"/>
          <w:lang w:val="en-US" w:eastAsia="zh-CN"/>
        </w:rPr>
        <w:t>粤港澳大湾区</w:t>
      </w:r>
      <w:r>
        <w:rPr>
          <w:rFonts w:hint="default"/>
          <w:color w:val="auto"/>
        </w:rPr>
        <w:t>数字金融新高地。</w:t>
      </w:r>
      <w:r>
        <w:rPr>
          <w:rFonts w:hint="eastAsia"/>
          <w:color w:val="auto"/>
          <w:lang w:val="en-US" w:eastAsia="zh-CN"/>
        </w:rPr>
        <w:t>支持深港两地高等院校、金融机构、科技企业等加强</w:t>
      </w:r>
      <w:r>
        <w:rPr>
          <w:rFonts w:hint="default"/>
          <w:color w:val="auto"/>
        </w:rPr>
        <w:t>资源</w:t>
      </w:r>
      <w:r>
        <w:rPr>
          <w:rFonts w:hint="eastAsia"/>
          <w:color w:val="auto"/>
          <w:lang w:val="en-US" w:eastAsia="zh-CN"/>
        </w:rPr>
        <w:t>协同合作，</w:t>
      </w:r>
      <w:r>
        <w:rPr>
          <w:rFonts w:hint="default"/>
          <w:color w:val="auto"/>
        </w:rPr>
        <w:t>发挥各自</w:t>
      </w:r>
      <w:r>
        <w:rPr>
          <w:rFonts w:hint="eastAsia"/>
          <w:color w:val="auto"/>
          <w:lang w:val="en-US" w:eastAsia="zh-CN"/>
        </w:rPr>
        <w:t>专业</w:t>
      </w:r>
      <w:r>
        <w:rPr>
          <w:rFonts w:hint="default"/>
          <w:color w:val="auto"/>
        </w:rPr>
        <w:t>优势，</w:t>
      </w:r>
      <w:r>
        <w:rPr>
          <w:rFonts w:hint="eastAsia"/>
          <w:color w:val="auto"/>
          <w:lang w:val="en-US" w:eastAsia="zh-CN"/>
        </w:rPr>
        <w:t>围绕</w:t>
      </w:r>
      <w:r>
        <w:rPr>
          <w:rFonts w:hint="default"/>
          <w:color w:val="auto"/>
        </w:rPr>
        <w:t>关键核心技术</w:t>
      </w:r>
      <w:r>
        <w:rPr>
          <w:rFonts w:hint="eastAsia"/>
          <w:color w:val="auto"/>
          <w:lang w:eastAsia="zh-CN"/>
        </w:rPr>
        <w:t>、</w:t>
      </w:r>
      <w:r>
        <w:rPr>
          <w:rFonts w:hint="eastAsia"/>
          <w:color w:val="auto"/>
          <w:lang w:val="en-US" w:eastAsia="zh-CN"/>
        </w:rPr>
        <w:t>数字化特色场景等开展</w:t>
      </w:r>
      <w:r>
        <w:rPr>
          <w:rFonts w:hint="default"/>
          <w:color w:val="auto"/>
        </w:rPr>
        <w:t>联合攻关，主动融入全球创新网络。</w:t>
      </w:r>
      <w:r>
        <w:rPr>
          <w:rFonts w:hint="eastAsia"/>
          <w:color w:val="auto"/>
          <w:lang w:val="en-US" w:eastAsia="zh-CN"/>
        </w:rPr>
        <w:t>构建完善</w:t>
      </w:r>
      <w:r>
        <w:rPr>
          <w:rFonts w:hint="default"/>
          <w:color w:val="auto"/>
        </w:rPr>
        <w:t>与香港北部都会区</w:t>
      </w:r>
      <w:r>
        <w:rPr>
          <w:rFonts w:hint="eastAsia"/>
          <w:color w:val="auto"/>
          <w:lang w:val="en-US" w:eastAsia="zh-CN"/>
        </w:rPr>
        <w:t>的</w:t>
      </w:r>
      <w:r>
        <w:rPr>
          <w:rFonts w:hint="default"/>
          <w:color w:val="auto"/>
        </w:rPr>
        <w:t>科研对接机制，</w:t>
      </w:r>
      <w:r>
        <w:rPr>
          <w:rFonts w:hint="eastAsia"/>
          <w:color w:val="auto"/>
          <w:lang w:val="en-US" w:eastAsia="zh-CN"/>
        </w:rPr>
        <w:t>支持</w:t>
      </w:r>
      <w:r>
        <w:rPr>
          <w:rFonts w:hint="default"/>
          <w:color w:val="auto"/>
        </w:rPr>
        <w:t>科研资金</w:t>
      </w:r>
      <w:r>
        <w:rPr>
          <w:rFonts w:hint="eastAsia"/>
          <w:color w:val="auto"/>
          <w:lang w:val="en-US" w:eastAsia="zh-CN"/>
        </w:rPr>
        <w:t>更顺畅</w:t>
      </w:r>
      <w:r>
        <w:rPr>
          <w:rFonts w:hint="default"/>
          <w:color w:val="auto"/>
        </w:rPr>
        <w:t>跨境流动，</w:t>
      </w:r>
      <w:r>
        <w:rPr>
          <w:rFonts w:hint="eastAsia"/>
          <w:color w:val="auto"/>
          <w:lang w:val="en-US" w:eastAsia="zh-CN"/>
        </w:rPr>
        <w:t>促进金融科技研发成果加快转化。</w:t>
      </w:r>
    </w:p>
    <w:p>
      <w:pPr>
        <w:pageBreakBefore w:val="0"/>
        <w:widowControl w:val="0"/>
        <w:kinsoku/>
        <w:wordWrap/>
        <w:overflowPunct/>
        <w:topLinePunct w:val="0"/>
        <w:autoSpaceDE/>
        <w:autoSpaceDN/>
        <w:bidi w:val="0"/>
        <w:adjustRightInd/>
        <w:spacing w:line="560" w:lineRule="exact"/>
        <w:textAlignment w:val="auto"/>
        <w:rPr>
          <w:rFonts w:hint="default"/>
          <w:lang w:val="en-US" w:eastAsia="zh-CN"/>
        </w:rPr>
      </w:pPr>
      <w:bookmarkStart w:id="43" w:name="_Toc31894"/>
      <w:r>
        <w:rPr>
          <w:rFonts w:hint="eastAsia"/>
          <w:b/>
          <w:bCs/>
          <w:lang w:val="en-US" w:eastAsia="zh-CN"/>
        </w:rPr>
        <w:t>3.</w:t>
      </w:r>
      <w:r>
        <w:rPr>
          <w:rFonts w:hint="default"/>
          <w:b/>
          <w:bCs/>
          <w:lang w:val="en-US" w:eastAsia="zh-CN"/>
        </w:rPr>
        <w:t>鼓励新兴技术在金融领域加速落地</w:t>
      </w:r>
      <w:bookmarkEnd w:id="43"/>
      <w:r>
        <w:rPr>
          <w:rFonts w:hint="eastAsia"/>
          <w:b/>
          <w:bCs/>
          <w:lang w:val="en-US" w:eastAsia="zh-CN"/>
        </w:rPr>
        <w:t>。</w:t>
      </w:r>
      <w:r>
        <w:rPr>
          <w:rFonts w:hint="default"/>
          <w:lang w:val="en-US" w:eastAsia="zh-CN"/>
        </w:rPr>
        <w:t>鼓励多方安全计算、联邦学习等技术加快落地，在保障信息交换安全、保护终端数据和个人数据隐私等方面发挥更多作用。</w:t>
      </w:r>
      <w:r>
        <w:rPr>
          <w:rFonts w:hint="eastAsia"/>
          <w:lang w:val="en-US" w:eastAsia="zh-CN"/>
        </w:rPr>
        <w:t>充分发挥区块链技术低成本互信、数据不可篡改、信息可追溯的优势，通过分布式账本、智能合约、共识机制等手段，为供应链金融、贸易金融等提供底层基础支撑。支持综合运用5G、物联网、射频识别等技术，架设安全泛在的金融网络。同时，着力</w:t>
      </w:r>
      <w:r>
        <w:rPr>
          <w:rFonts w:hint="default"/>
          <w:lang w:val="en-US" w:eastAsia="zh-CN"/>
        </w:rPr>
        <w:t>破除新技术应用的制度性障碍，鼓励</w:t>
      </w:r>
      <w:r>
        <w:rPr>
          <w:rFonts w:hint="eastAsia"/>
          <w:lang w:val="en-US" w:eastAsia="zh-CN"/>
        </w:rPr>
        <w:t>依托“监管沙盒”等开展创新技术小规模测试，推动</w:t>
      </w:r>
      <w:r>
        <w:rPr>
          <w:rFonts w:hint="default"/>
          <w:lang w:val="en-US" w:eastAsia="zh-CN"/>
        </w:rPr>
        <w:t>符合监管标准的</w:t>
      </w:r>
      <w:r>
        <w:rPr>
          <w:rFonts w:hint="eastAsia"/>
          <w:lang w:val="en-US" w:eastAsia="zh-CN"/>
        </w:rPr>
        <w:t>成熟技术拓展应用场景。</w:t>
      </w:r>
    </w:p>
    <w:p>
      <w:pPr>
        <w:pStyle w:val="4"/>
        <w:pageBreakBefore w:val="0"/>
        <w:widowControl w:val="0"/>
        <w:kinsoku/>
        <w:wordWrap/>
        <w:overflowPunct/>
        <w:topLinePunct w:val="0"/>
        <w:autoSpaceDE/>
        <w:autoSpaceDN/>
        <w:bidi w:val="0"/>
        <w:adjustRightInd/>
        <w:snapToGrid/>
        <w:spacing w:line="560" w:lineRule="exact"/>
        <w:textAlignment w:val="auto"/>
        <w:rPr>
          <w:rFonts w:hint="default"/>
          <w:color w:val="auto"/>
          <w:lang w:eastAsia="zh-CN"/>
        </w:rPr>
      </w:pPr>
      <w:bookmarkStart w:id="44" w:name="_Toc1194687781"/>
      <w:bookmarkStart w:id="45" w:name="_Toc227"/>
      <w:bookmarkStart w:id="46" w:name="_Toc1155"/>
      <w:r>
        <w:rPr>
          <w:rFonts w:hint="eastAsia"/>
          <w:color w:val="auto"/>
          <w:lang w:eastAsia="zh-CN"/>
        </w:rPr>
        <w:t>（</w:t>
      </w:r>
      <w:r>
        <w:rPr>
          <w:rFonts w:hint="eastAsia"/>
          <w:color w:val="auto"/>
          <w:lang w:val="en-US" w:eastAsia="zh-CN"/>
        </w:rPr>
        <w:t>五</w:t>
      </w:r>
      <w:r>
        <w:rPr>
          <w:rFonts w:hint="eastAsia"/>
          <w:color w:val="auto"/>
          <w:lang w:eastAsia="zh-CN"/>
        </w:rPr>
        <w:t>）</w:t>
      </w:r>
      <w:r>
        <w:rPr>
          <w:rFonts w:hint="eastAsia"/>
          <w:color w:val="auto"/>
          <w:lang w:val="en-US" w:eastAsia="zh-CN"/>
        </w:rPr>
        <w:t>加强</w:t>
      </w:r>
      <w:r>
        <w:rPr>
          <w:rFonts w:hint="default"/>
          <w:color w:val="auto"/>
          <w:lang w:eastAsia="zh-CN"/>
        </w:rPr>
        <w:t>金融科技</w:t>
      </w:r>
      <w:r>
        <w:rPr>
          <w:rFonts w:hint="eastAsia"/>
          <w:color w:val="auto"/>
          <w:lang w:eastAsia="zh-CN"/>
        </w:rPr>
        <w:t>专业</w:t>
      </w:r>
      <w:r>
        <w:rPr>
          <w:rFonts w:hint="default"/>
          <w:color w:val="auto"/>
          <w:lang w:eastAsia="zh-CN"/>
        </w:rPr>
        <w:t>人才</w:t>
      </w:r>
      <w:r>
        <w:rPr>
          <w:rFonts w:hint="eastAsia"/>
          <w:color w:val="auto"/>
          <w:lang w:val="en-US" w:eastAsia="zh-CN"/>
        </w:rPr>
        <w:t>培养</w:t>
      </w:r>
      <w:bookmarkEnd w:id="4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color w:val="auto"/>
          <w:lang w:val="en-US" w:eastAsia="zh-CN"/>
        </w:rPr>
      </w:pPr>
      <w:bookmarkStart w:id="47" w:name="_Toc28679"/>
      <w:r>
        <w:rPr>
          <w:rFonts w:hint="eastAsia"/>
          <w:b/>
          <w:bCs/>
          <w:color w:val="auto"/>
          <w:lang w:val="en-US" w:eastAsia="zh-CN"/>
        </w:rPr>
        <w:t>1.完善</w:t>
      </w:r>
      <w:r>
        <w:rPr>
          <w:rFonts w:hint="default"/>
          <w:b/>
          <w:bCs/>
          <w:color w:val="auto"/>
        </w:rPr>
        <w:t>金融科技人才</w:t>
      </w:r>
      <w:r>
        <w:rPr>
          <w:rFonts w:hint="eastAsia"/>
          <w:b/>
          <w:bCs/>
          <w:color w:val="auto"/>
          <w:lang w:val="en-US" w:eastAsia="zh-CN"/>
        </w:rPr>
        <w:t>政策</w:t>
      </w:r>
      <w:r>
        <w:rPr>
          <w:rFonts w:hint="default"/>
          <w:b/>
          <w:bCs/>
          <w:color w:val="auto"/>
        </w:rPr>
        <w:t>体系</w:t>
      </w:r>
      <w:r>
        <w:rPr>
          <w:rFonts w:hint="eastAsia"/>
          <w:b/>
          <w:bCs/>
          <w:color w:val="auto"/>
          <w:lang w:eastAsia="zh-CN"/>
        </w:rPr>
        <w:t>。</w:t>
      </w:r>
      <w:r>
        <w:rPr>
          <w:rFonts w:hint="eastAsia"/>
          <w:b w:val="0"/>
          <w:bCs w:val="0"/>
          <w:color w:val="auto"/>
          <w:lang w:val="en-US" w:eastAsia="zh-CN"/>
        </w:rPr>
        <w:t>落实《深圳市支持金融人才发展的实施办法》等政策，</w:t>
      </w:r>
      <w:r>
        <w:rPr>
          <w:rFonts w:hint="eastAsia" w:ascii="仿宋_GB2312" w:hAnsi="仿宋_GB2312" w:eastAsia="仿宋_GB2312" w:cstheme="minorBidi"/>
          <w:b w:val="0"/>
          <w:bCs w:val="0"/>
          <w:color w:val="auto"/>
          <w:kern w:val="2"/>
          <w:sz w:val="32"/>
          <w:szCs w:val="22"/>
          <w:lang w:val="en-US" w:eastAsia="zh-CN" w:bidi="ar-SA"/>
        </w:rPr>
        <w:t>结合深圳市百千万金融人才培养工程，</w:t>
      </w:r>
      <w:r>
        <w:rPr>
          <w:rFonts w:hint="eastAsia" w:cstheme="minorBidi"/>
          <w:b w:val="0"/>
          <w:bCs w:val="0"/>
          <w:color w:val="auto"/>
          <w:kern w:val="2"/>
          <w:sz w:val="32"/>
          <w:szCs w:val="22"/>
          <w:lang w:val="en-US" w:eastAsia="zh-CN" w:bidi="ar-SA"/>
        </w:rPr>
        <w:t>加强金融科技领域领军人才、骨干人才、青年人才等分类分步培养</w:t>
      </w:r>
      <w:bookmarkEnd w:id="47"/>
      <w:r>
        <w:rPr>
          <w:rFonts w:hint="default"/>
          <w:color w:val="auto"/>
        </w:rPr>
        <w:t>。</w:t>
      </w:r>
      <w:r>
        <w:rPr>
          <w:rFonts w:hint="eastAsia"/>
          <w:color w:val="auto"/>
          <w:lang w:val="en-US" w:eastAsia="zh-CN"/>
        </w:rPr>
        <w:t>支持各区</w:t>
      </w:r>
      <w:r>
        <w:rPr>
          <w:rFonts w:hint="default"/>
          <w:color w:val="auto"/>
        </w:rPr>
        <w:t>制定实施有利于</w:t>
      </w:r>
      <w:r>
        <w:rPr>
          <w:rFonts w:hint="eastAsia"/>
          <w:color w:val="auto"/>
          <w:lang w:val="en-US" w:eastAsia="zh-CN"/>
        </w:rPr>
        <w:t>金融科技</w:t>
      </w:r>
      <w:r>
        <w:rPr>
          <w:rFonts w:hint="default"/>
          <w:color w:val="auto"/>
        </w:rPr>
        <w:t>发展的人才专项政策，</w:t>
      </w:r>
      <w:r>
        <w:rPr>
          <w:rFonts w:hint="eastAsia"/>
          <w:color w:val="auto"/>
          <w:lang w:val="en-US" w:eastAsia="zh-CN"/>
        </w:rPr>
        <w:t>通过</w:t>
      </w:r>
      <w:r>
        <w:rPr>
          <w:rFonts w:hint="default"/>
          <w:color w:val="auto"/>
        </w:rPr>
        <w:t>各类引才引智计划，</w:t>
      </w:r>
      <w:r>
        <w:rPr>
          <w:rFonts w:hint="eastAsia"/>
          <w:color w:val="auto"/>
          <w:lang w:val="en-US" w:eastAsia="zh-CN"/>
        </w:rPr>
        <w:t>培育引进一批高层次和急需紧缺金融科技专业人才。支持各区采取具有竞争力的金融科技人才激励措施，对金融科技高端人才在签证办理、人才引进、就业许可、资格认证、人才住房申请等方面提供一站式服务，并加强优质便利化的生活配套设施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color w:val="auto"/>
          <w:lang w:eastAsia="zh-CN"/>
        </w:rPr>
      </w:pPr>
      <w:bookmarkStart w:id="48" w:name="_Toc4611"/>
      <w:r>
        <w:rPr>
          <w:rFonts w:hint="eastAsia"/>
          <w:b/>
          <w:bCs/>
          <w:color w:val="auto"/>
          <w:lang w:val="en-US" w:eastAsia="zh-CN"/>
        </w:rPr>
        <w:t>2.深入推进</w:t>
      </w:r>
      <w:r>
        <w:rPr>
          <w:rFonts w:hint="default"/>
          <w:b/>
          <w:bCs/>
          <w:color w:val="auto"/>
        </w:rPr>
        <w:t>深港澳金融科技师专才计划</w:t>
      </w:r>
      <w:bookmarkEnd w:id="48"/>
      <w:r>
        <w:rPr>
          <w:rFonts w:hint="eastAsia"/>
          <w:b/>
          <w:bCs/>
          <w:color w:val="auto"/>
          <w:lang w:eastAsia="zh-CN"/>
        </w:rPr>
        <w:t>。</w:t>
      </w:r>
      <w:r>
        <w:rPr>
          <w:rFonts w:hint="eastAsia"/>
          <w:color w:val="auto"/>
          <w:lang w:val="en-US" w:eastAsia="zh-CN"/>
        </w:rPr>
        <w:t>引导推动</w:t>
      </w:r>
      <w:r>
        <w:rPr>
          <w:rFonts w:hint="eastAsia"/>
          <w:color w:val="auto"/>
          <w:lang w:eastAsia="zh-CN"/>
        </w:rPr>
        <w:t>“</w:t>
      </w:r>
      <w:r>
        <w:rPr>
          <w:rFonts w:hint="default"/>
          <w:color w:val="auto"/>
        </w:rPr>
        <w:t>深港澳金融科技师专才计划</w:t>
      </w:r>
      <w:r>
        <w:rPr>
          <w:rFonts w:hint="eastAsia"/>
          <w:color w:val="auto"/>
          <w:lang w:eastAsia="zh-CN"/>
        </w:rPr>
        <w:t>”</w:t>
      </w:r>
      <w:r>
        <w:rPr>
          <w:rFonts w:hint="default"/>
          <w:color w:val="auto"/>
        </w:rPr>
        <w:t>进一步完善课程体系、优化课程结构、丰富课程内容、提高测评质量，</w:t>
      </w:r>
      <w:r>
        <w:rPr>
          <w:rFonts w:hint="eastAsia"/>
          <w:color w:val="auto"/>
          <w:lang w:val="en-US" w:eastAsia="zh-CN"/>
        </w:rPr>
        <w:t>建立健全多层次的培训、考试和认证体系。充分</w:t>
      </w:r>
      <w:r>
        <w:rPr>
          <w:rFonts w:hint="eastAsia"/>
          <w:b w:val="0"/>
          <w:bCs w:val="0"/>
          <w:color w:val="auto"/>
          <w:lang w:val="en-US" w:eastAsia="zh-CN"/>
        </w:rPr>
        <w:t>发挥金融科技专项政策的激励功能，鼓励</w:t>
      </w:r>
      <w:r>
        <w:rPr>
          <w:rFonts w:hint="eastAsia"/>
          <w:lang w:eastAsia="zh-CN"/>
        </w:rPr>
        <w:t>金融机构制定金融科技人才和团队建设规划，合理增加金融科技人员比例，优化金融从业人员结构；</w:t>
      </w:r>
      <w:r>
        <w:rPr>
          <w:rFonts w:hint="eastAsia"/>
          <w:lang w:val="en-US" w:eastAsia="zh-CN"/>
        </w:rPr>
        <w:t>支持依托行业协会、高等院校、龙头企业、专业培训机构等不断完善更新项目知识体系，加强</w:t>
      </w:r>
      <w:r>
        <w:rPr>
          <w:rFonts w:hint="default"/>
          <w:color w:val="auto"/>
        </w:rPr>
        <w:t>考试系统、培训系统</w:t>
      </w:r>
      <w:r>
        <w:rPr>
          <w:rFonts w:hint="eastAsia"/>
          <w:color w:val="auto"/>
          <w:lang w:eastAsia="zh-CN"/>
        </w:rPr>
        <w:t>、</w:t>
      </w:r>
      <w:r>
        <w:rPr>
          <w:rFonts w:hint="default"/>
          <w:color w:val="auto"/>
        </w:rPr>
        <w:t>数字化认证</w:t>
      </w:r>
      <w:r>
        <w:rPr>
          <w:rFonts w:hint="eastAsia"/>
          <w:color w:val="auto"/>
          <w:lang w:val="en-US" w:eastAsia="zh-CN"/>
        </w:rPr>
        <w:t>等</w:t>
      </w:r>
      <w:r>
        <w:rPr>
          <w:rFonts w:hint="default"/>
          <w:color w:val="auto"/>
        </w:rPr>
        <w:t>信息化建设，分步骤</w:t>
      </w:r>
      <w:r>
        <w:rPr>
          <w:rFonts w:hint="eastAsia"/>
          <w:color w:val="auto"/>
          <w:lang w:val="en-US" w:eastAsia="zh-CN"/>
        </w:rPr>
        <w:t>探索推进高校课程学分、考试结果互认等试点，鼓励编写多语种教材课件和教学案例，有序加大宣传推广力度</w:t>
      </w:r>
      <w:r>
        <w:rPr>
          <w:rFonts w:hint="default"/>
          <w:color w:val="auto"/>
        </w:rPr>
        <w:t>。</w:t>
      </w:r>
    </w:p>
    <w:tbl>
      <w:tblPr>
        <w:tblStyle w:val="15"/>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5" w:type="dxa"/>
            <w:tcMar>
              <w:top w:w="57" w:type="dxa"/>
              <w:left w:w="170" w:type="dxa"/>
              <w:bottom w:w="57" w:type="dxa"/>
              <w:right w:w="170" w:type="dxa"/>
            </w:tcMar>
            <w:vAlign w:val="top"/>
          </w:tcPr>
          <w:p>
            <w:pPr>
              <w:pStyle w:val="2"/>
              <w:keepNext w:val="0"/>
              <w:keepLines w:val="0"/>
              <w:pageBreakBefore w:val="0"/>
              <w:widowControl w:val="0"/>
              <w:kinsoku/>
              <w:wordWrap/>
              <w:overflowPunct/>
              <w:topLinePunct w:val="0"/>
              <w:autoSpaceDE/>
              <w:autoSpaceDN/>
              <w:bidi w:val="0"/>
              <w:adjustRightInd/>
              <w:snapToGrid w:val="0"/>
              <w:spacing w:before="219" w:beforeLines="50" w:after="110" w:afterLines="25" w:line="440" w:lineRule="exact"/>
              <w:ind w:left="0" w:leftChars="0" w:firstLine="0" w:firstLineChars="0"/>
              <w:jc w:val="both"/>
              <w:textAlignment w:val="baseline"/>
              <w:rPr>
                <w:rFonts w:hint="eastAsia"/>
                <w:sz w:val="28"/>
                <w:szCs w:val="21"/>
                <w:lang w:val="en-US" w:eastAsia="zh-CN"/>
              </w:rPr>
            </w:pPr>
            <w:bookmarkStart w:id="49" w:name="_Toc29513"/>
            <w:r>
              <w:rPr>
                <w:rFonts w:hint="eastAsia"/>
                <w:b/>
                <w:bCs/>
                <w:sz w:val="28"/>
                <w:szCs w:val="21"/>
                <w:lang w:val="en-US" w:eastAsia="zh-CN"/>
              </w:rPr>
              <w:t>专栏4：深港澳金融科技师专才计划</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2019年3月，深港澳金融监管部门等协商一致，在借鉴特许金融分析师（CFA）和金融风险管理师（FRM）等资格考试体系的基础上，依托行业协会、高等院校和科研院所，在国内率先启动“深港澳金融科技师”专才计划（Shenzhen-Hongkong-Macau FinTech Professional Programme，SHMFTPP），已顺利运行三年多，共组织了4次一级考试和1次二级考试、5次一级培训和1次二级培训，产生了1376名一级持证人和75名二级持证人，实现了从无到有、从小到大的成长发展，正逐步成长为支撑粤港澳大湾区金融科技生态的重要人才基础平台。</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作为深港澳三地携手推动的专业人才培养机制，“深港澳金融科技师”专才计划主要特点有：</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b/>
                <w:bCs/>
                <w:spacing w:val="-6"/>
                <w:sz w:val="28"/>
                <w:szCs w:val="21"/>
                <w:lang w:val="en-US" w:eastAsia="zh-CN"/>
              </w:rPr>
              <w:t>一是</w:t>
            </w:r>
            <w:r>
              <w:rPr>
                <w:rFonts w:hint="eastAsia" w:ascii="楷体_GB2312" w:hAnsi="楷体_GB2312" w:eastAsia="楷体_GB2312" w:cs="楷体_GB2312"/>
                <w:spacing w:val="-6"/>
                <w:sz w:val="28"/>
                <w:szCs w:val="21"/>
                <w:lang w:val="en-US" w:eastAsia="zh-CN"/>
              </w:rPr>
              <w:t>政府指导、市场主导，形成跨城市及政商学界等多方联动合力。2019年3月，深圳市地方金融监督管理局联合香港财库局、香港金管局、澳门金管局、人民银行深圳市中心支行、深圳银保监局、深圳证监局等单位共同指导，深圳证券交易所、平安集团、招商银行、北大汇丰商学院、南方科技大学、澳门大学等35家产业、学术和研究单位共同发起，充分体现了业界合力。</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b/>
                <w:bCs/>
                <w:spacing w:val="-6"/>
                <w:sz w:val="28"/>
                <w:szCs w:val="21"/>
                <w:lang w:val="en-US" w:eastAsia="zh-CN"/>
              </w:rPr>
              <w:t>二是</w:t>
            </w:r>
            <w:r>
              <w:rPr>
                <w:rFonts w:hint="eastAsia" w:ascii="楷体_GB2312" w:hAnsi="楷体_GB2312" w:eastAsia="楷体_GB2312" w:cs="楷体_GB2312"/>
                <w:spacing w:val="-6"/>
                <w:sz w:val="28"/>
                <w:szCs w:val="21"/>
                <w:lang w:val="en-US" w:eastAsia="zh-CN"/>
              </w:rPr>
              <w:t>把道德伦理培训教育放在重要位置，引导行业守正创新。“深港澳金融科技师”专才计划自启动之初，就把从业人员的金融科技伦理意识和道德素养摆在培训和认证的重要位置，密切联动深圳市金融科技伦理委员会等专业组织，组织专家调研讨论金融科技伦理失范的典型案例，面向行业发布伦理宣言、推动完善治理体系，编写伦理通识教材并开展培训。同时，在考试环节对伦理模块单独计分，设置最低正确率要求，并实行“一票否决”，以高伦理素养的从业人员保障行业守正创新。</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lang w:val="en-US" w:eastAsia="zh-CN"/>
              </w:rPr>
            </w:pPr>
            <w:r>
              <w:rPr>
                <w:rFonts w:hint="eastAsia" w:ascii="楷体_GB2312" w:hAnsi="楷体_GB2312" w:eastAsia="楷体_GB2312" w:cs="楷体_GB2312"/>
                <w:b/>
                <w:bCs/>
                <w:spacing w:val="-6"/>
                <w:sz w:val="28"/>
                <w:szCs w:val="21"/>
                <w:lang w:val="en-US" w:eastAsia="zh-CN"/>
              </w:rPr>
              <w:t>三是</w:t>
            </w:r>
            <w:r>
              <w:rPr>
                <w:rFonts w:hint="eastAsia" w:ascii="楷体_GB2312" w:hAnsi="楷体_GB2312" w:eastAsia="楷体_GB2312" w:cs="楷体_GB2312"/>
                <w:spacing w:val="-6"/>
                <w:sz w:val="28"/>
                <w:szCs w:val="21"/>
                <w:lang w:val="en-US" w:eastAsia="zh-CN"/>
              </w:rPr>
              <w:t>加强数字技术场景应用，突出技术赋能特色。自启动以来，特别是在2020年初以来新冠疫情肆虐的背景下，“深港澳金融科技师”专才计划创新应用数字技术保证了培训、考试、认证各项工作的正常运转，开发了技术先进、用户友好的考试系统，部署了行业认可、公正权威的电子证书认证系统，通过技术赋能，不断完善金融科技人才培养和资质认证的体制机制。</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theme="minorBidi"/>
          <w:b w:val="0"/>
          <w:bCs w:val="0"/>
          <w:color w:val="auto"/>
          <w:kern w:val="2"/>
          <w:sz w:val="32"/>
          <w:szCs w:val="22"/>
          <w:lang w:val="en-US" w:eastAsia="zh-CN" w:bidi="ar-SA"/>
        </w:rPr>
      </w:pPr>
      <w:r>
        <w:rPr>
          <w:rFonts w:hint="eastAsia"/>
          <w:b/>
          <w:bCs/>
          <w:color w:val="auto"/>
          <w:lang w:val="en-US" w:eastAsia="zh-CN"/>
        </w:rPr>
        <w:t>3.构建</w:t>
      </w:r>
      <w:r>
        <w:rPr>
          <w:rFonts w:hint="default"/>
          <w:b/>
          <w:bCs/>
          <w:color w:val="auto"/>
        </w:rPr>
        <w:t>政产学研人才</w:t>
      </w:r>
      <w:r>
        <w:rPr>
          <w:rFonts w:hint="eastAsia"/>
          <w:b/>
          <w:bCs/>
          <w:color w:val="auto"/>
          <w:lang w:val="en-US" w:eastAsia="zh-CN"/>
        </w:rPr>
        <w:t>联合</w:t>
      </w:r>
      <w:r>
        <w:rPr>
          <w:rFonts w:hint="default"/>
          <w:b/>
          <w:bCs/>
          <w:color w:val="auto"/>
        </w:rPr>
        <w:t>培养</w:t>
      </w:r>
      <w:bookmarkEnd w:id="49"/>
      <w:r>
        <w:rPr>
          <w:rFonts w:hint="eastAsia"/>
          <w:b/>
          <w:bCs/>
          <w:color w:val="auto"/>
          <w:lang w:val="en-US" w:eastAsia="zh-CN"/>
        </w:rPr>
        <w:t>机制</w:t>
      </w:r>
      <w:r>
        <w:rPr>
          <w:rFonts w:hint="eastAsia"/>
          <w:b/>
          <w:bCs/>
          <w:color w:val="auto"/>
          <w:lang w:eastAsia="zh-CN"/>
        </w:rPr>
        <w:t>。</w:t>
      </w:r>
      <w:r>
        <w:rPr>
          <w:rFonts w:hint="default"/>
          <w:color w:val="auto"/>
        </w:rPr>
        <w:t>鼓励</w:t>
      </w:r>
      <w:r>
        <w:rPr>
          <w:rFonts w:hint="eastAsia"/>
          <w:color w:val="auto"/>
          <w:lang w:val="en-US" w:eastAsia="zh-CN"/>
        </w:rPr>
        <w:t>在深高校</w:t>
      </w:r>
      <w:r>
        <w:rPr>
          <w:rFonts w:hint="default"/>
          <w:color w:val="auto"/>
        </w:rPr>
        <w:t>开设金融科技专业，加强校企合作，</w:t>
      </w:r>
      <w:r>
        <w:rPr>
          <w:rFonts w:hint="eastAsia"/>
          <w:color w:val="auto"/>
          <w:lang w:val="en-US" w:eastAsia="zh-CN"/>
        </w:rPr>
        <w:t>共同开发</w:t>
      </w:r>
      <w:r>
        <w:rPr>
          <w:rFonts w:hint="default"/>
          <w:color w:val="auto"/>
        </w:rPr>
        <w:t>大数据、</w:t>
      </w:r>
      <w:r>
        <w:rPr>
          <w:rFonts w:hint="eastAsia"/>
          <w:color w:val="auto"/>
          <w:lang w:val="en-US" w:eastAsia="zh-CN"/>
        </w:rPr>
        <w:t>区块链、</w:t>
      </w:r>
      <w:r>
        <w:rPr>
          <w:rFonts w:hint="default"/>
          <w:color w:val="auto"/>
        </w:rPr>
        <w:t>云计算、数据挖掘、机器学习</w:t>
      </w:r>
      <w:r>
        <w:rPr>
          <w:rFonts w:hint="eastAsia"/>
          <w:color w:val="auto"/>
          <w:lang w:eastAsia="zh-CN"/>
        </w:rPr>
        <w:t>、</w:t>
      </w:r>
      <w:r>
        <w:rPr>
          <w:rFonts w:hint="eastAsia"/>
          <w:color w:val="auto"/>
          <w:lang w:val="en-US" w:eastAsia="zh-CN"/>
        </w:rPr>
        <w:t>智慧风控</w:t>
      </w:r>
      <w:r>
        <w:rPr>
          <w:rFonts w:hint="default"/>
          <w:color w:val="auto"/>
        </w:rPr>
        <w:t>等</w:t>
      </w:r>
      <w:r>
        <w:rPr>
          <w:rFonts w:hint="eastAsia"/>
          <w:color w:val="auto"/>
          <w:lang w:val="en-US" w:eastAsia="zh-CN"/>
        </w:rPr>
        <w:t>新课程，</w:t>
      </w:r>
      <w:r>
        <w:rPr>
          <w:rFonts w:hint="default"/>
          <w:color w:val="auto"/>
        </w:rPr>
        <w:t>培养</w:t>
      </w:r>
      <w:r>
        <w:rPr>
          <w:rFonts w:hint="eastAsia"/>
          <w:color w:val="auto"/>
          <w:lang w:val="en-US" w:eastAsia="zh-CN"/>
        </w:rPr>
        <w:t>既通晓金融理论与实务，又掌握数据科学、网络技术，具备较强实操和创新能力的金融科技复合型人才。鼓励本市金融科技机构与高校合作设立大学生实习基地，支持按规定申请博士后工作站、创新实践基地，认定一批市级金融科技大学生实习基地。支持政府部门、行业协会、金融机构、科技企业、高等院校等共同开展金融科技课题研究或培训交流活动，推动建</w:t>
      </w:r>
      <w:r>
        <w:rPr>
          <w:rFonts w:hint="default"/>
          <w:color w:val="auto"/>
        </w:rPr>
        <w:t>立顺畅</w:t>
      </w:r>
      <w:r>
        <w:rPr>
          <w:rFonts w:hint="eastAsia"/>
          <w:color w:val="auto"/>
          <w:lang w:val="en-US" w:eastAsia="zh-CN"/>
        </w:rPr>
        <w:t>的</w:t>
      </w:r>
      <w:r>
        <w:rPr>
          <w:rFonts w:hint="default"/>
          <w:color w:val="auto"/>
        </w:rPr>
        <w:t>合作机制。</w:t>
      </w:r>
      <w:r>
        <w:rPr>
          <w:rFonts w:hint="eastAsia"/>
          <w:color w:val="auto"/>
          <w:lang w:val="en-US" w:eastAsia="zh-CN"/>
        </w:rPr>
        <w:t>鼓励定期举办金融科技人才节、人才季、招聘周、夏令营等活动，通过丰富多样的形式吸引优秀金融科技人才集聚。</w:t>
      </w:r>
    </w:p>
    <w:p>
      <w:pPr>
        <w:pStyle w:val="4"/>
        <w:pageBreakBefore w:val="0"/>
        <w:widowControl w:val="0"/>
        <w:kinsoku/>
        <w:wordWrap/>
        <w:overflowPunct/>
        <w:topLinePunct w:val="0"/>
        <w:autoSpaceDE/>
        <w:autoSpaceDN/>
        <w:bidi w:val="0"/>
        <w:adjustRightInd/>
        <w:snapToGrid/>
        <w:spacing w:line="560" w:lineRule="exact"/>
        <w:textAlignment w:val="auto"/>
        <w:rPr>
          <w:rFonts w:hint="default"/>
          <w:color w:val="auto"/>
          <w:lang w:eastAsia="zh-CN"/>
        </w:rPr>
      </w:pPr>
      <w:bookmarkStart w:id="50" w:name="_Toc1598461119"/>
      <w:r>
        <w:rPr>
          <w:rFonts w:hint="eastAsia"/>
          <w:color w:val="auto"/>
          <w:lang w:eastAsia="zh-CN"/>
        </w:rPr>
        <w:t>（</w:t>
      </w:r>
      <w:r>
        <w:rPr>
          <w:rFonts w:hint="eastAsia"/>
          <w:color w:val="auto"/>
          <w:lang w:val="en-US" w:eastAsia="zh-CN"/>
        </w:rPr>
        <w:t>六）健全</w:t>
      </w:r>
      <w:r>
        <w:rPr>
          <w:rFonts w:hint="default"/>
          <w:color w:val="auto"/>
          <w:lang w:eastAsia="zh-CN"/>
        </w:rPr>
        <w:t>金融科技投融资体系</w:t>
      </w:r>
      <w:bookmarkEnd w:id="45"/>
      <w:bookmarkEnd w:id="46"/>
      <w:bookmarkEnd w:id="5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color w:val="auto"/>
          <w:lang w:val="en-US" w:eastAsia="zh-CN"/>
        </w:rPr>
      </w:pPr>
      <w:bookmarkStart w:id="51" w:name="_Toc30125"/>
      <w:r>
        <w:rPr>
          <w:rFonts w:hint="eastAsia"/>
          <w:b/>
          <w:bCs/>
          <w:color w:val="auto"/>
          <w:lang w:val="en-US" w:eastAsia="zh-CN"/>
        </w:rPr>
        <w:t>1.鼓励为金融科技类企业提供多元化金融服务。</w:t>
      </w:r>
      <w:r>
        <w:rPr>
          <w:rFonts w:hint="eastAsia"/>
          <w:color w:val="auto"/>
          <w:lang w:val="en-US" w:eastAsia="zh-CN"/>
        </w:rPr>
        <w:t>引导金融机构加大对民营、小微金融科技类企业的信贷支持，适当降低贷款保证要求和融资成本，为金融科技产业园区、金融科技核心环节研发平台以及配套服务企业提供有效的信贷支持。支持金融机构为符合条件的金融科技类企业开立自由贸易账户，创新特色金融产品，提供全生命周期的跨境金融服务。支持针对金融科技行业发展需求和特点，加大金融产品和服务创新力度，稳步推进知识产权证券化、投贷联动等试点，发展股权质押、知识产权质押、商标权质押、专利质押等金融业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color w:val="auto"/>
          <w:lang w:val="en-US" w:eastAsia="zh-CN"/>
        </w:rPr>
      </w:pPr>
      <w:r>
        <w:rPr>
          <w:rFonts w:hint="eastAsia"/>
          <w:b/>
          <w:bCs/>
          <w:color w:val="auto"/>
          <w:lang w:val="en-US" w:eastAsia="zh-CN"/>
        </w:rPr>
        <w:t>2.</w:t>
      </w:r>
      <w:r>
        <w:rPr>
          <w:rFonts w:hint="default"/>
          <w:b/>
          <w:bCs/>
          <w:color w:val="auto"/>
        </w:rPr>
        <w:t>支持</w:t>
      </w:r>
      <w:r>
        <w:rPr>
          <w:rFonts w:hint="eastAsia"/>
          <w:b/>
          <w:bCs/>
          <w:color w:val="auto"/>
          <w:lang w:eastAsia="zh-CN"/>
        </w:rPr>
        <w:t>金融科技类企业</w:t>
      </w:r>
      <w:r>
        <w:rPr>
          <w:rFonts w:hint="default"/>
          <w:b/>
          <w:bCs/>
          <w:color w:val="auto"/>
        </w:rPr>
        <w:t>对接</w:t>
      </w:r>
      <w:r>
        <w:rPr>
          <w:rFonts w:hint="eastAsia"/>
          <w:b/>
          <w:bCs/>
          <w:color w:val="auto"/>
          <w:lang w:val="en-US" w:eastAsia="zh-CN"/>
        </w:rPr>
        <w:t>多层次</w:t>
      </w:r>
      <w:r>
        <w:rPr>
          <w:rFonts w:hint="default"/>
          <w:b/>
          <w:bCs/>
          <w:color w:val="auto"/>
        </w:rPr>
        <w:t>资本市场</w:t>
      </w:r>
      <w:bookmarkEnd w:id="51"/>
      <w:r>
        <w:rPr>
          <w:rFonts w:hint="eastAsia"/>
          <w:b/>
          <w:bCs/>
          <w:color w:val="auto"/>
          <w:lang w:eastAsia="zh-CN"/>
        </w:rPr>
        <w:t>。</w:t>
      </w:r>
      <w:r>
        <w:rPr>
          <w:rFonts w:hint="eastAsia"/>
          <w:b w:val="0"/>
          <w:bCs w:val="0"/>
          <w:color w:val="auto"/>
          <w:lang w:val="en-US" w:eastAsia="zh-CN"/>
        </w:rPr>
        <w:t>大力推进“星耀鹏城”上市培育计划，支持符合条件的金融科技类企业上市融资</w:t>
      </w:r>
      <w:r>
        <w:rPr>
          <w:rFonts w:hint="default"/>
          <w:color w:val="auto"/>
        </w:rPr>
        <w:t>。</w:t>
      </w:r>
      <w:r>
        <w:rPr>
          <w:rFonts w:hint="eastAsia"/>
          <w:color w:val="auto"/>
          <w:lang w:val="en-US" w:eastAsia="zh-CN"/>
        </w:rPr>
        <w:t>支持</w:t>
      </w:r>
      <w:r>
        <w:rPr>
          <w:rFonts w:hint="eastAsia"/>
          <w:color w:val="auto"/>
          <w:lang w:eastAsia="zh-CN"/>
        </w:rPr>
        <w:t>金融科技类企业</w:t>
      </w:r>
      <w:r>
        <w:rPr>
          <w:rFonts w:hint="default"/>
          <w:color w:val="auto"/>
        </w:rPr>
        <w:t>以基础技术和知识产权运营收入为底层资产</w:t>
      </w:r>
      <w:r>
        <w:rPr>
          <w:rFonts w:hint="eastAsia"/>
          <w:color w:val="auto"/>
          <w:lang w:eastAsia="zh-CN"/>
        </w:rPr>
        <w:t>，</w:t>
      </w:r>
      <w:r>
        <w:rPr>
          <w:rFonts w:hint="eastAsia"/>
          <w:color w:val="auto"/>
          <w:lang w:val="en-US" w:eastAsia="zh-CN"/>
        </w:rPr>
        <w:t>探索</w:t>
      </w:r>
      <w:r>
        <w:rPr>
          <w:rFonts w:hint="default"/>
          <w:color w:val="auto"/>
        </w:rPr>
        <w:t>发行证券化产品。</w:t>
      </w:r>
      <w:r>
        <w:rPr>
          <w:rFonts w:hint="eastAsia"/>
          <w:color w:val="auto"/>
          <w:lang w:val="en-US" w:eastAsia="zh-CN"/>
        </w:rPr>
        <w:t>推动区域性股权市场开展区块链建设试点，利用</w:t>
      </w:r>
      <w:r>
        <w:rPr>
          <w:rFonts w:hint="default"/>
          <w:color w:val="auto"/>
        </w:rPr>
        <w:t>区块链、大数据技术</w:t>
      </w:r>
      <w:r>
        <w:rPr>
          <w:rFonts w:hint="eastAsia"/>
          <w:color w:val="auto"/>
          <w:lang w:val="en-US" w:eastAsia="zh-CN"/>
        </w:rPr>
        <w:t>加强数据共享</w:t>
      </w:r>
      <w:r>
        <w:rPr>
          <w:rFonts w:hint="default"/>
          <w:color w:val="auto"/>
        </w:rPr>
        <w:t>，</w:t>
      </w:r>
      <w:r>
        <w:rPr>
          <w:rFonts w:hint="eastAsia"/>
          <w:color w:val="auto"/>
          <w:lang w:val="en-US" w:eastAsia="zh-CN"/>
        </w:rPr>
        <w:t>提升要素流转衔接效率，更好地服务中小科创企业孵化成长。支持深交所</w:t>
      </w:r>
      <w:r>
        <w:rPr>
          <w:rFonts w:hint="default"/>
          <w:color w:val="auto"/>
          <w:lang w:val="en-US" w:eastAsia="zh-CN"/>
        </w:rPr>
        <w:t>燧石星火</w:t>
      </w:r>
      <w:r>
        <w:rPr>
          <w:rFonts w:hint="eastAsia"/>
          <w:color w:val="auto"/>
          <w:lang w:val="en-US" w:eastAsia="zh-CN"/>
        </w:rPr>
        <w:t>“</w:t>
      </w:r>
      <w:r>
        <w:rPr>
          <w:rFonts w:hint="default"/>
          <w:color w:val="auto"/>
          <w:lang w:val="en-US" w:eastAsia="zh-CN"/>
        </w:rPr>
        <w:t>V-Next</w:t>
      </w:r>
      <w:r>
        <w:rPr>
          <w:rFonts w:hint="eastAsia"/>
          <w:color w:val="auto"/>
          <w:lang w:val="en-US" w:eastAsia="zh-CN"/>
        </w:rPr>
        <w:t>”</w:t>
      </w:r>
      <w:r>
        <w:rPr>
          <w:rFonts w:hint="default"/>
          <w:color w:val="auto"/>
          <w:lang w:val="en-US" w:eastAsia="zh-CN"/>
        </w:rPr>
        <w:t>路演平台加载更多数字化金融服务功能</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color w:val="auto"/>
          <w:lang w:val="en-US" w:eastAsia="zh-CN"/>
        </w:rPr>
      </w:pPr>
      <w:bookmarkStart w:id="52" w:name="_Toc11086"/>
      <w:r>
        <w:rPr>
          <w:rFonts w:hint="eastAsia"/>
          <w:b/>
          <w:bCs/>
          <w:color w:val="auto"/>
          <w:lang w:val="en-US" w:eastAsia="zh-CN"/>
        </w:rPr>
        <w:t>3.</w:t>
      </w:r>
      <w:r>
        <w:rPr>
          <w:rFonts w:hint="default"/>
          <w:b/>
          <w:bCs/>
          <w:color w:val="auto"/>
        </w:rPr>
        <w:t>联动</w:t>
      </w:r>
      <w:r>
        <w:rPr>
          <w:rFonts w:hint="eastAsia"/>
          <w:b/>
          <w:bCs/>
          <w:color w:val="auto"/>
          <w:lang w:val="en-US" w:eastAsia="zh-CN"/>
        </w:rPr>
        <w:t>建设</w:t>
      </w:r>
      <w:r>
        <w:rPr>
          <w:rFonts w:hint="default"/>
          <w:b/>
          <w:bCs/>
          <w:color w:val="auto"/>
        </w:rPr>
        <w:t>国际风投创投中心与金融科技中心</w:t>
      </w:r>
      <w:bookmarkEnd w:id="52"/>
      <w:r>
        <w:rPr>
          <w:rFonts w:hint="eastAsia"/>
          <w:b/>
          <w:bCs/>
          <w:color w:val="auto"/>
          <w:lang w:eastAsia="zh-CN"/>
        </w:rPr>
        <w:t>。</w:t>
      </w:r>
      <w:r>
        <w:rPr>
          <w:rFonts w:hint="default"/>
          <w:color w:val="auto"/>
        </w:rPr>
        <w:t>支持设立金融科技主题的风险投资基金，瞄准区块链等</w:t>
      </w:r>
      <w:r>
        <w:rPr>
          <w:rFonts w:hint="eastAsia"/>
          <w:color w:val="auto"/>
          <w:lang w:val="en-US" w:eastAsia="zh-CN"/>
        </w:rPr>
        <w:t>前沿领域</w:t>
      </w:r>
      <w:r>
        <w:rPr>
          <w:rFonts w:hint="default"/>
          <w:color w:val="auto"/>
        </w:rPr>
        <w:t>加大</w:t>
      </w:r>
      <w:r>
        <w:rPr>
          <w:rFonts w:hint="eastAsia"/>
          <w:color w:val="auto"/>
          <w:lang w:val="en-US" w:eastAsia="zh-CN"/>
        </w:rPr>
        <w:t>跟踪</w:t>
      </w:r>
      <w:r>
        <w:rPr>
          <w:rFonts w:hint="default"/>
          <w:color w:val="auto"/>
        </w:rPr>
        <w:t>投入，</w:t>
      </w:r>
      <w:r>
        <w:rPr>
          <w:rFonts w:hint="eastAsia"/>
          <w:color w:val="auto"/>
          <w:lang w:val="en-US" w:eastAsia="zh-CN"/>
        </w:rPr>
        <w:t>积极</w:t>
      </w:r>
      <w:r>
        <w:rPr>
          <w:rFonts w:hint="default"/>
          <w:color w:val="auto"/>
        </w:rPr>
        <w:t>孵化种子期、初创期金融科技</w:t>
      </w:r>
      <w:r>
        <w:rPr>
          <w:rFonts w:hint="eastAsia"/>
          <w:color w:val="auto"/>
          <w:lang w:val="en-US" w:eastAsia="zh-CN"/>
        </w:rPr>
        <w:t>优质</w:t>
      </w:r>
      <w:r>
        <w:rPr>
          <w:rFonts w:hint="default"/>
          <w:color w:val="auto"/>
        </w:rPr>
        <w:t>项目。</w:t>
      </w:r>
      <w:r>
        <w:rPr>
          <w:rFonts w:hint="eastAsia"/>
          <w:color w:val="auto"/>
          <w:lang w:val="en-US" w:eastAsia="zh-CN"/>
        </w:rPr>
        <w:t>依托香蜜湖</w:t>
      </w:r>
      <w:r>
        <w:rPr>
          <w:rFonts w:hint="default"/>
          <w:color w:val="auto"/>
        </w:rPr>
        <w:t>国际风投创投</w:t>
      </w:r>
      <w:r>
        <w:rPr>
          <w:rFonts w:hint="eastAsia"/>
          <w:color w:val="auto"/>
          <w:lang w:val="en-US" w:eastAsia="zh-CN"/>
        </w:rPr>
        <w:t>街区等集聚功能区</w:t>
      </w:r>
      <w:r>
        <w:rPr>
          <w:rFonts w:hint="default"/>
          <w:color w:val="auto"/>
        </w:rPr>
        <w:t>建设</w:t>
      </w:r>
      <w:r>
        <w:rPr>
          <w:rFonts w:hint="eastAsia"/>
          <w:color w:val="auto"/>
          <w:lang w:eastAsia="zh-CN"/>
        </w:rPr>
        <w:t>，</w:t>
      </w:r>
      <w:r>
        <w:rPr>
          <w:rFonts w:hint="eastAsia"/>
          <w:color w:val="auto"/>
          <w:lang w:val="en-US" w:eastAsia="zh-CN"/>
        </w:rPr>
        <w:t>鼓励聚焦投资金融科技类企业的股权投资机构在深发展，完善</w:t>
      </w:r>
      <w:r>
        <w:rPr>
          <w:rFonts w:hint="default"/>
          <w:color w:val="auto"/>
        </w:rPr>
        <w:t>路演交流</w:t>
      </w:r>
      <w:r>
        <w:rPr>
          <w:rFonts w:hint="eastAsia"/>
          <w:color w:val="auto"/>
          <w:lang w:eastAsia="zh-CN"/>
        </w:rPr>
        <w:t>、</w:t>
      </w:r>
      <w:r>
        <w:rPr>
          <w:rFonts w:hint="default"/>
          <w:color w:val="auto"/>
        </w:rPr>
        <w:t>项目对接</w:t>
      </w:r>
      <w:r>
        <w:rPr>
          <w:rFonts w:hint="eastAsia"/>
          <w:color w:val="auto"/>
          <w:lang w:val="en-US" w:eastAsia="zh-CN"/>
        </w:rPr>
        <w:t>等机制</w:t>
      </w:r>
      <w:r>
        <w:rPr>
          <w:rFonts w:hint="default"/>
          <w:color w:val="auto"/>
        </w:rPr>
        <w:t>平台，便利风投创投资源与</w:t>
      </w:r>
      <w:r>
        <w:rPr>
          <w:rFonts w:hint="eastAsia"/>
          <w:color w:val="auto"/>
          <w:lang w:eastAsia="zh-CN"/>
        </w:rPr>
        <w:t>金融科技类企业</w:t>
      </w:r>
      <w:r>
        <w:rPr>
          <w:rFonts w:hint="default"/>
          <w:color w:val="auto"/>
        </w:rPr>
        <w:t>对接。发挥</w:t>
      </w:r>
      <w:r>
        <w:rPr>
          <w:rFonts w:hint="eastAsia"/>
          <w:color w:val="auto"/>
          <w:lang w:val="en-US" w:eastAsia="zh-CN"/>
        </w:rPr>
        <w:t>市、区</w:t>
      </w:r>
      <w:r>
        <w:rPr>
          <w:rFonts w:hint="default"/>
          <w:color w:val="auto"/>
        </w:rPr>
        <w:t>政府引导基金作用，</w:t>
      </w:r>
      <w:r>
        <w:rPr>
          <w:rFonts w:hint="eastAsia"/>
          <w:color w:val="auto"/>
          <w:lang w:val="en-US" w:eastAsia="zh-CN"/>
        </w:rPr>
        <w:t>支持</w:t>
      </w:r>
      <w:r>
        <w:rPr>
          <w:rFonts w:hint="default"/>
          <w:color w:val="auto"/>
        </w:rPr>
        <w:t>合作设立区域性基金或园区基金，</w:t>
      </w:r>
      <w:r>
        <w:rPr>
          <w:rFonts w:hint="eastAsia"/>
          <w:color w:val="auto"/>
          <w:lang w:val="en-US" w:eastAsia="zh-CN"/>
        </w:rPr>
        <w:t>促进</w:t>
      </w:r>
      <w:r>
        <w:rPr>
          <w:rFonts w:hint="default"/>
          <w:color w:val="auto"/>
        </w:rPr>
        <w:t>属地</w:t>
      </w:r>
      <w:r>
        <w:rPr>
          <w:rFonts w:hint="eastAsia"/>
          <w:color w:val="auto"/>
          <w:lang w:eastAsia="zh-CN"/>
        </w:rPr>
        <w:t>金融科技类企业</w:t>
      </w:r>
      <w:r>
        <w:rPr>
          <w:rFonts w:hint="default"/>
          <w:color w:val="auto"/>
        </w:rPr>
        <w:t>发展</w:t>
      </w:r>
      <w:r>
        <w:rPr>
          <w:rFonts w:hint="eastAsia"/>
          <w:color w:val="auto"/>
          <w:lang w:eastAsia="zh-CN"/>
        </w:rPr>
        <w:t>；</w:t>
      </w:r>
      <w:r>
        <w:rPr>
          <w:rFonts w:hint="eastAsia"/>
          <w:color w:val="auto"/>
          <w:lang w:val="en-US" w:eastAsia="zh-CN"/>
        </w:rPr>
        <w:t>支持深圳市天使投资引导基金与社会资本合作依法依规发起设立金融科技子基金。</w:t>
      </w:r>
    </w:p>
    <w:p>
      <w:pPr>
        <w:pStyle w:val="4"/>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bookmarkStart w:id="53" w:name="_Toc1570488162"/>
      <w:r>
        <w:rPr>
          <w:rFonts w:hint="eastAsia"/>
          <w:color w:val="auto"/>
          <w:lang w:eastAsia="zh-CN"/>
        </w:rPr>
        <w:t>（</w:t>
      </w:r>
      <w:r>
        <w:rPr>
          <w:rFonts w:hint="eastAsia"/>
          <w:color w:val="auto"/>
          <w:lang w:val="en-US" w:eastAsia="zh-CN"/>
        </w:rPr>
        <w:t>七</w:t>
      </w:r>
      <w:r>
        <w:rPr>
          <w:rFonts w:hint="eastAsia"/>
          <w:color w:val="auto"/>
          <w:lang w:eastAsia="zh-CN"/>
        </w:rPr>
        <w:t>）</w:t>
      </w:r>
      <w:bookmarkEnd w:id="37"/>
      <w:bookmarkEnd w:id="38"/>
      <w:r>
        <w:rPr>
          <w:rFonts w:hint="eastAsia"/>
          <w:color w:val="auto"/>
          <w:lang w:val="en-US" w:eastAsia="zh-CN"/>
        </w:rPr>
        <w:t>加强金融科技风险防控</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color w:val="auto"/>
          <w:lang w:val="en-US" w:eastAsia="zh-CN"/>
        </w:rPr>
      </w:pPr>
      <w:bookmarkStart w:id="54" w:name="_Toc25314"/>
      <w:r>
        <w:rPr>
          <w:rFonts w:hint="eastAsia"/>
          <w:b/>
          <w:bCs/>
          <w:color w:val="auto"/>
          <w:lang w:val="en-US" w:eastAsia="zh-CN"/>
        </w:rPr>
        <w:t>1.提升</w:t>
      </w:r>
      <w:r>
        <w:rPr>
          <w:rFonts w:hint="default"/>
          <w:b/>
          <w:bCs/>
          <w:color w:val="auto"/>
        </w:rPr>
        <w:t>监管科技应用</w:t>
      </w:r>
      <w:bookmarkEnd w:id="54"/>
      <w:r>
        <w:rPr>
          <w:rFonts w:hint="eastAsia"/>
          <w:b/>
          <w:bCs/>
          <w:color w:val="auto"/>
          <w:lang w:val="en-US" w:eastAsia="zh-CN"/>
        </w:rPr>
        <w:t>水平</w:t>
      </w:r>
      <w:r>
        <w:rPr>
          <w:rFonts w:hint="eastAsia"/>
          <w:b/>
          <w:bCs/>
          <w:color w:val="auto"/>
          <w:lang w:eastAsia="zh-CN"/>
        </w:rPr>
        <w:t>。</w:t>
      </w:r>
      <w:r>
        <w:rPr>
          <w:rFonts w:hint="eastAsia"/>
          <w:color w:val="auto"/>
          <w:lang w:val="en-US" w:eastAsia="zh-CN"/>
        </w:rPr>
        <w:t>支持金融监管机构运用科技手段创新监管模式，</w:t>
      </w:r>
      <w:r>
        <w:rPr>
          <w:rFonts w:hint="eastAsia"/>
          <w:b w:val="0"/>
          <w:bCs w:val="0"/>
          <w:color w:val="auto"/>
          <w:lang w:val="en-US" w:eastAsia="zh-CN"/>
        </w:rPr>
        <w:t>整合优化地方金融风险监管预警系统等平台功能，增强</w:t>
      </w:r>
      <w:r>
        <w:rPr>
          <w:rFonts w:hint="eastAsia"/>
          <w:color w:val="auto"/>
          <w:lang w:val="en-US" w:eastAsia="zh-CN"/>
        </w:rPr>
        <w:t>实时数据集成、关键信息披露、风险主动鉴别、预警核查处置等数字化监管功能，提高风险“早识别、早预警、早发现、早处置”能力。运用</w:t>
      </w:r>
      <w:r>
        <w:rPr>
          <w:rFonts w:hint="eastAsia"/>
          <w:color w:val="auto"/>
          <w:lang w:eastAsia="zh-CN"/>
        </w:rPr>
        <w:t>大数据、人工智能</w:t>
      </w:r>
      <w:r>
        <w:rPr>
          <w:rFonts w:hint="eastAsia"/>
          <w:color w:val="auto"/>
          <w:lang w:val="en-US" w:eastAsia="zh-CN"/>
        </w:rPr>
        <w:t>等现代技术手段，结合数据模型、典型场景等，加强对非法集资的监测预警，提升</w:t>
      </w:r>
      <w:r>
        <w:rPr>
          <w:rFonts w:hint="default"/>
          <w:color w:val="auto"/>
        </w:rPr>
        <w:t>非法集资线索发现、归集研判、分发查核、</w:t>
      </w:r>
      <w:r>
        <w:rPr>
          <w:rFonts w:hint="eastAsia"/>
          <w:color w:val="auto"/>
          <w:lang w:val="en-US" w:eastAsia="zh-CN"/>
        </w:rPr>
        <w:t>打击</w:t>
      </w:r>
      <w:r>
        <w:rPr>
          <w:rFonts w:hint="default"/>
          <w:color w:val="auto"/>
        </w:rPr>
        <w:t>处置</w:t>
      </w:r>
      <w:r>
        <w:rPr>
          <w:rFonts w:hint="eastAsia"/>
          <w:color w:val="auto"/>
          <w:lang w:val="en-US" w:eastAsia="zh-CN"/>
        </w:rPr>
        <w:t>等</w:t>
      </w:r>
      <w:r>
        <w:rPr>
          <w:rFonts w:hint="default"/>
          <w:color w:val="auto"/>
        </w:rPr>
        <w:t>全链条运行</w:t>
      </w:r>
      <w:r>
        <w:rPr>
          <w:rFonts w:hint="eastAsia"/>
          <w:color w:val="auto"/>
          <w:lang w:val="en-US" w:eastAsia="zh-CN"/>
        </w:rPr>
        <w:t>效能</w:t>
      </w:r>
      <w:r>
        <w:rPr>
          <w:rFonts w:hint="default"/>
          <w:color w:val="auto"/>
        </w:rPr>
        <w:t>。支持</w:t>
      </w:r>
      <w:r>
        <w:rPr>
          <w:rFonts w:hint="eastAsia"/>
          <w:color w:val="auto"/>
          <w:lang w:val="en-US" w:eastAsia="zh-CN"/>
        </w:rPr>
        <w:t>国家金融</w:t>
      </w:r>
      <w:r>
        <w:rPr>
          <w:rFonts w:hint="default"/>
          <w:color w:val="auto"/>
        </w:rPr>
        <w:t>监管</w:t>
      </w:r>
      <w:r>
        <w:rPr>
          <w:rFonts w:hint="eastAsia"/>
          <w:color w:val="auto"/>
          <w:lang w:val="en-US" w:eastAsia="zh-CN"/>
        </w:rPr>
        <w:t>部门</w:t>
      </w:r>
      <w:r>
        <w:rPr>
          <w:rFonts w:hint="default"/>
          <w:color w:val="auto"/>
        </w:rPr>
        <w:t>及其</w:t>
      </w:r>
      <w:r>
        <w:rPr>
          <w:rFonts w:hint="eastAsia"/>
          <w:color w:val="auto"/>
          <w:lang w:val="en-US" w:eastAsia="zh-CN"/>
        </w:rPr>
        <w:t>相关机构</w:t>
      </w:r>
      <w:r>
        <w:rPr>
          <w:rFonts w:hint="default"/>
          <w:color w:val="auto"/>
        </w:rPr>
        <w:t>在深圳设立监管科技</w:t>
      </w:r>
      <w:r>
        <w:rPr>
          <w:rFonts w:hint="eastAsia"/>
          <w:color w:val="auto"/>
          <w:lang w:val="en-US" w:eastAsia="zh-CN"/>
        </w:rPr>
        <w:t>设施载体</w:t>
      </w:r>
      <w:r>
        <w:rPr>
          <w:rFonts w:hint="default"/>
          <w:color w:val="auto"/>
        </w:rPr>
        <w:t>，创新监管领域数字治理机制。</w:t>
      </w:r>
      <w:r>
        <w:rPr>
          <w:rFonts w:hint="eastAsia"/>
          <w:color w:val="auto"/>
          <w:lang w:val="en-US" w:eastAsia="zh-CN"/>
        </w:rPr>
        <w:t>深化人民银行金融科技创新监管试点、资本市场金融科技创新试点，鼓励监管科技项目进入测试，持续丰富监管科技工具体系。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color w:val="auto"/>
        </w:rPr>
      </w:pPr>
      <w:r>
        <w:rPr>
          <w:rFonts w:hint="eastAsia"/>
          <w:b/>
          <w:bCs/>
          <w:color w:val="auto"/>
          <w:lang w:val="en-US" w:eastAsia="zh-CN"/>
        </w:rPr>
        <w:t>2.推动合规科技创新应用。</w:t>
      </w:r>
      <w:r>
        <w:rPr>
          <w:rFonts w:hint="eastAsia"/>
          <w:color w:val="auto"/>
          <w:lang w:val="en-US" w:eastAsia="zh-CN"/>
        </w:rPr>
        <w:t>鼓励金融机构独立或与科技企业合作开发合规科技平台设施，提高合规管理自动化、智能化水平。发挥深圳市金融创新奖、香蜜湖金融科技创新奖等激励机制作用，引导推动各类金融机构在</w:t>
      </w:r>
      <w:r>
        <w:rPr>
          <w:rFonts w:hint="default"/>
          <w:color w:val="auto"/>
        </w:rPr>
        <w:t>客户身份识别、</w:t>
      </w:r>
      <w:r>
        <w:rPr>
          <w:rFonts w:hint="eastAsia"/>
          <w:color w:val="auto"/>
          <w:lang w:val="en-US" w:eastAsia="zh-CN"/>
        </w:rPr>
        <w:t>产品宣传推广、投资者权益保护以及交易行为监测、业务数据报送、风险事件报告等场景中，无缝嵌入数字合规工具，增强对合规风险的动态感知、实时监测和智能防控能力。支持促进一批专注于合规科技业务的优秀金融科技类企业做大做强。支持金融监管部门、行业组织等指导制定</w:t>
      </w:r>
      <w:r>
        <w:rPr>
          <w:rFonts w:hint="default"/>
          <w:color w:val="auto"/>
        </w:rPr>
        <w:t>金融科技</w:t>
      </w:r>
      <w:r>
        <w:rPr>
          <w:rFonts w:hint="eastAsia"/>
          <w:color w:val="auto"/>
          <w:lang w:val="en-US" w:eastAsia="zh-CN"/>
        </w:rPr>
        <w:t>重点</w:t>
      </w:r>
      <w:r>
        <w:rPr>
          <w:rFonts w:hint="default"/>
          <w:color w:val="auto"/>
        </w:rPr>
        <w:t>领域</w:t>
      </w:r>
      <w:r>
        <w:rPr>
          <w:rFonts w:hint="eastAsia"/>
          <w:color w:val="auto"/>
          <w:lang w:val="en-US" w:eastAsia="zh-CN"/>
        </w:rPr>
        <w:t>的</w:t>
      </w:r>
      <w:r>
        <w:rPr>
          <w:rFonts w:hint="default"/>
          <w:color w:val="auto"/>
        </w:rPr>
        <w:t>合规指引。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lang w:val="en-US" w:eastAsia="zh-CN"/>
        </w:rPr>
      </w:pPr>
      <w:r>
        <w:rPr>
          <w:rFonts w:hint="eastAsia"/>
          <w:b/>
          <w:bCs/>
          <w:color w:val="auto"/>
          <w:lang w:val="en-US" w:eastAsia="zh-CN"/>
        </w:rPr>
        <w:t>3.加强金融科技</w:t>
      </w:r>
      <w:r>
        <w:rPr>
          <w:rFonts w:hint="default"/>
          <w:b/>
          <w:bCs/>
          <w:color w:val="auto"/>
        </w:rPr>
        <w:t>伦理建设</w:t>
      </w:r>
      <w:r>
        <w:rPr>
          <w:rFonts w:hint="eastAsia"/>
          <w:b/>
          <w:bCs/>
          <w:color w:val="auto"/>
          <w:lang w:eastAsia="zh-CN"/>
        </w:rPr>
        <w:t>。</w:t>
      </w:r>
      <w:r>
        <w:rPr>
          <w:rFonts w:hint="eastAsia"/>
          <w:color w:val="auto"/>
          <w:lang w:val="en-US" w:eastAsia="zh-CN"/>
        </w:rPr>
        <w:t>发挥</w:t>
      </w:r>
      <w:r>
        <w:rPr>
          <w:rFonts w:hint="default"/>
          <w:color w:val="auto"/>
        </w:rPr>
        <w:t>深圳市金融科技伦理委员会</w:t>
      </w:r>
      <w:r>
        <w:rPr>
          <w:rFonts w:hint="eastAsia"/>
          <w:color w:val="auto"/>
          <w:lang w:val="en-US" w:eastAsia="zh-CN"/>
        </w:rPr>
        <w:t>作用</w:t>
      </w:r>
      <w:r>
        <w:rPr>
          <w:rFonts w:hint="default"/>
          <w:color w:val="auto"/>
        </w:rPr>
        <w:t>，</w:t>
      </w:r>
      <w:r>
        <w:rPr>
          <w:rFonts w:hint="eastAsia"/>
          <w:color w:val="auto"/>
          <w:lang w:val="en-US" w:eastAsia="zh-CN"/>
        </w:rPr>
        <w:t>坚持促进创新与防范风险相统一、制度规范与自我约束相结合原则，推动完善金融科技伦理审查、信息披露、评价等制度规则</w:t>
      </w:r>
      <w:r>
        <w:rPr>
          <w:rFonts w:hint="eastAsia"/>
          <w:color w:val="auto"/>
          <w:lang w:eastAsia="zh-CN"/>
        </w:rPr>
        <w:t>。</w:t>
      </w:r>
      <w:r>
        <w:rPr>
          <w:rFonts w:hint="eastAsia"/>
          <w:color w:val="auto"/>
          <w:lang w:val="en-US" w:eastAsia="zh-CN"/>
        </w:rPr>
        <w:t>引导鼓励</w:t>
      </w:r>
      <w:r>
        <w:rPr>
          <w:rFonts w:hint="eastAsia"/>
          <w:color w:val="auto"/>
          <w:lang w:eastAsia="zh-CN"/>
        </w:rPr>
        <w:t>金融科技类企业</w:t>
      </w:r>
      <w:r>
        <w:rPr>
          <w:rFonts w:hint="eastAsia"/>
          <w:color w:val="auto"/>
          <w:lang w:val="en-US" w:eastAsia="zh-CN"/>
        </w:rPr>
        <w:t>在</w:t>
      </w:r>
      <w:r>
        <w:rPr>
          <w:rFonts w:hint="default"/>
          <w:color w:val="auto"/>
        </w:rPr>
        <w:t>前期研究、产品设计、架构选择、开发实施、部署落地、绩效监测</w:t>
      </w:r>
      <w:r>
        <w:rPr>
          <w:rFonts w:hint="eastAsia"/>
          <w:color w:val="auto"/>
          <w:lang w:eastAsia="zh-CN"/>
        </w:rPr>
        <w:t>、</w:t>
      </w:r>
      <w:r>
        <w:rPr>
          <w:rFonts w:hint="default"/>
          <w:color w:val="auto"/>
        </w:rPr>
        <w:t>迭代升级</w:t>
      </w:r>
      <w:r>
        <w:rPr>
          <w:rFonts w:hint="eastAsia"/>
          <w:color w:val="auto"/>
          <w:lang w:val="en-US" w:eastAsia="zh-CN"/>
        </w:rPr>
        <w:t>等</w:t>
      </w:r>
      <w:r>
        <w:rPr>
          <w:rFonts w:hint="default"/>
          <w:color w:val="auto"/>
        </w:rPr>
        <w:t>全过程纳入金融科技伦理审查机制</w:t>
      </w:r>
      <w:r>
        <w:rPr>
          <w:rFonts w:hint="eastAsia"/>
          <w:color w:val="auto"/>
          <w:lang w:eastAsia="zh-CN"/>
        </w:rPr>
        <w:t>，</w:t>
      </w:r>
      <w:r>
        <w:rPr>
          <w:rFonts w:hint="eastAsia"/>
          <w:color w:val="auto"/>
          <w:lang w:val="en-US" w:eastAsia="zh-CN"/>
        </w:rPr>
        <w:t>严防技术滥用</w:t>
      </w:r>
      <w:r>
        <w:rPr>
          <w:rFonts w:hint="default"/>
          <w:color w:val="auto"/>
        </w:rPr>
        <w:t>。</w:t>
      </w:r>
      <w:r>
        <w:rPr>
          <w:rFonts w:hint="eastAsia"/>
          <w:color w:val="auto"/>
          <w:lang w:val="en-US" w:eastAsia="zh-CN"/>
        </w:rPr>
        <w:t>督促金融科技类企业、从业者自觉遵守《深圳市金融科技伦理宣言》，不断增强金融科技伦理意识，自觉践行金融科技伦理原则，共同抵制违背金融科技伦理要求的行为。</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baseline"/>
        <w:rPr>
          <w:rFonts w:hint="default"/>
          <w:lang w:val="en-US" w:eastAsia="zh-CN"/>
        </w:rPr>
      </w:pPr>
    </w:p>
    <w:tbl>
      <w:tblPr>
        <w:tblStyle w:val="15"/>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5" w:type="dxa"/>
            <w:tcMar>
              <w:top w:w="57" w:type="dxa"/>
              <w:left w:w="170" w:type="dxa"/>
              <w:bottom w:w="57" w:type="dxa"/>
              <w:right w:w="170" w:type="dxa"/>
            </w:tcMar>
            <w:vAlign w:val="top"/>
          </w:tcPr>
          <w:p>
            <w:pPr>
              <w:pStyle w:val="2"/>
              <w:keepNext w:val="0"/>
              <w:keepLines w:val="0"/>
              <w:pageBreakBefore w:val="0"/>
              <w:widowControl w:val="0"/>
              <w:kinsoku/>
              <w:wordWrap/>
              <w:overflowPunct/>
              <w:topLinePunct w:val="0"/>
              <w:autoSpaceDE/>
              <w:autoSpaceDN/>
              <w:bidi w:val="0"/>
              <w:adjustRightInd/>
              <w:snapToGrid w:val="0"/>
              <w:spacing w:before="219" w:beforeLines="50" w:after="110" w:afterLines="25" w:line="440" w:lineRule="exact"/>
              <w:ind w:left="0" w:leftChars="0" w:firstLine="0" w:firstLineChars="0"/>
              <w:jc w:val="both"/>
              <w:textAlignment w:val="baseline"/>
              <w:rPr>
                <w:rFonts w:hint="eastAsia"/>
                <w:sz w:val="28"/>
                <w:szCs w:val="21"/>
                <w:lang w:val="en-US" w:eastAsia="zh-CN"/>
              </w:rPr>
            </w:pPr>
            <w:r>
              <w:rPr>
                <w:rFonts w:hint="eastAsia"/>
                <w:b/>
                <w:bCs/>
                <w:sz w:val="28"/>
                <w:szCs w:val="21"/>
                <w:lang w:val="en-US" w:eastAsia="zh-CN"/>
              </w:rPr>
              <w:t>专栏5：深圳市金融科技伦理委员会</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2020年12月13日，以“金融科技塑造韧性世界”为主题的2020中国（深圳）金融科技全球峰会成功召开，期间“深圳市金融科技伦理委员会”正式成立。</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该委员会是在深圳市地方金融监督管理局推动和指导下，由深圳市金融科技协会牵头组建，旨在探索建立金融科技道德标准、金融科技创新与监管机制，增强金融服务实体经济与防范化解金融风险能力，助力深圳金融科技在“双区驱动”大背景下的合规创新建设，推动建设健康完整的金融科技生态系统。</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与此同时，《深圳市金融科技伦理宣言》首次正式发布，通过“九条倡议”，呼吁每一个金融科技类企业、每一位金融科技从业者维护金融科技伦理建设，共同努力促进金融科技领域中个人、组织、和社会之间关系的改进，使深圳市金融科技发展朝着有利于促进技术、商业和道德共同繁荣的方向进步。</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lang w:val="en-US" w:eastAsia="zh-CN"/>
              </w:rPr>
            </w:pPr>
            <w:r>
              <w:rPr>
                <w:rFonts w:hint="eastAsia" w:ascii="楷体_GB2312" w:hAnsi="楷体_GB2312" w:eastAsia="楷体_GB2312" w:cs="楷体_GB2312"/>
                <w:spacing w:val="-6"/>
                <w:sz w:val="28"/>
                <w:szCs w:val="21"/>
                <w:lang w:val="en-US" w:eastAsia="zh-CN"/>
              </w:rPr>
              <w:t>该委员会第一届主任委员由全国社会保障基金理事会原副理事长王忠民担任，北京大学汇丰金融研究院执行院长、中国宏观经济学会副会长巴曙松担任副主任委员。从委员名单来看，此次成立的委员会起点高、覆盖广，涵盖了金融科技相关的产业、技术、法律、安全、学术等各类企业和机构，委员均是在金融科技相关领域具有多年研究经验和经验积累的专家。</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eastAsia="zh-CN"/>
        </w:rPr>
      </w:pPr>
      <w:r>
        <w:rPr>
          <w:rFonts w:hint="eastAsia"/>
          <w:b/>
          <w:bCs/>
          <w:color w:val="auto"/>
          <w:lang w:val="en-US" w:eastAsia="zh-CN"/>
        </w:rPr>
        <w:t>4.推动安全技术体系及标准化建设</w:t>
      </w:r>
      <w:r>
        <w:rPr>
          <w:rFonts w:hint="eastAsia"/>
          <w:b/>
          <w:bCs/>
          <w:color w:val="auto"/>
          <w:lang w:eastAsia="zh-CN"/>
        </w:rPr>
        <w:t>。</w:t>
      </w:r>
      <w:r>
        <w:rPr>
          <w:rFonts w:hint="eastAsia"/>
          <w:b w:val="0"/>
          <w:bCs w:val="0"/>
          <w:color w:val="auto"/>
          <w:lang w:eastAsia="zh-CN"/>
        </w:rPr>
        <w:t>鼓励金融机构创新金融科技安全管理机制，整合基础设施安全、系统运行安全、网络安全、数据安全、云原生应用等安全监控系统，建设与金融科技运用相适应的技术安全管理体系</w:t>
      </w:r>
      <w:r>
        <w:rPr>
          <w:rFonts w:hint="eastAsia"/>
          <w:b w:val="0"/>
          <w:bCs w:val="0"/>
          <w:color w:val="auto"/>
          <w:lang w:val="en-US" w:eastAsia="zh-CN"/>
        </w:rPr>
        <w:t>。</w:t>
      </w:r>
      <w:r>
        <w:rPr>
          <w:rFonts w:hint="eastAsia"/>
          <w:color w:val="auto"/>
          <w:lang w:eastAsia="zh-CN"/>
        </w:rPr>
        <w:t>鼓励与</w:t>
      </w:r>
      <w:r>
        <w:rPr>
          <w:rFonts w:hint="eastAsia"/>
          <w:color w:val="auto"/>
          <w:lang w:val="en-US" w:eastAsia="zh-CN"/>
        </w:rPr>
        <w:t>底层</w:t>
      </w:r>
      <w:r>
        <w:rPr>
          <w:rFonts w:hint="eastAsia"/>
          <w:color w:val="auto"/>
          <w:lang w:eastAsia="zh-CN"/>
        </w:rPr>
        <w:t>密码</w:t>
      </w:r>
      <w:r>
        <w:rPr>
          <w:rFonts w:hint="eastAsia"/>
          <w:color w:val="auto"/>
          <w:lang w:val="en-US" w:eastAsia="zh-CN"/>
        </w:rPr>
        <w:t>技术等</w:t>
      </w:r>
      <w:r>
        <w:rPr>
          <w:rFonts w:hint="eastAsia"/>
          <w:color w:val="auto"/>
          <w:lang w:eastAsia="zh-CN"/>
        </w:rPr>
        <w:t>相关的研究机构、重点企业在深落地，推动以密码技术、量子技术</w:t>
      </w:r>
      <w:r>
        <w:rPr>
          <w:rFonts w:hint="eastAsia"/>
          <w:color w:val="auto"/>
          <w:lang w:val="en-US" w:eastAsia="zh-CN"/>
        </w:rPr>
        <w:t>、</w:t>
      </w:r>
      <w:r>
        <w:rPr>
          <w:rFonts w:hint="eastAsia"/>
          <w:color w:val="auto"/>
          <w:lang w:eastAsia="zh-CN"/>
        </w:rPr>
        <w:t>生物识别技术、</w:t>
      </w:r>
      <w:r>
        <w:rPr>
          <w:rFonts w:hint="default" w:ascii="仿宋_GB2312" w:hAnsi="仿宋_GB2312" w:eastAsia="仿宋_GB2312" w:cs="仿宋_GB2312"/>
          <w:lang w:val="en-US" w:eastAsia="zh-Hans"/>
        </w:rPr>
        <w:t>零信任技术</w:t>
      </w:r>
      <w:r>
        <w:rPr>
          <w:rFonts w:hint="eastAsia"/>
          <w:color w:val="auto"/>
          <w:lang w:val="en-US" w:eastAsia="zh-CN"/>
        </w:rPr>
        <w:t>等</w:t>
      </w:r>
      <w:r>
        <w:rPr>
          <w:rFonts w:hint="eastAsia"/>
          <w:color w:val="auto"/>
          <w:lang w:eastAsia="zh-CN"/>
        </w:rPr>
        <w:t>为代表的安全技术自主创新及研发，</w:t>
      </w:r>
      <w:r>
        <w:rPr>
          <w:rFonts w:hint="eastAsia"/>
          <w:color w:val="auto"/>
          <w:lang w:val="en-US" w:eastAsia="zh-CN"/>
        </w:rPr>
        <w:t>拓展</w:t>
      </w:r>
      <w:r>
        <w:rPr>
          <w:rFonts w:hint="eastAsia"/>
          <w:color w:val="auto"/>
          <w:lang w:eastAsia="zh-CN"/>
        </w:rPr>
        <w:t>加密技术在身份认证、网络安全、反欺诈等关键领域的应用。</w:t>
      </w:r>
      <w:r>
        <w:rPr>
          <w:rFonts w:hint="eastAsia"/>
          <w:color w:val="auto"/>
          <w:lang w:val="en-US" w:eastAsia="zh-CN"/>
        </w:rPr>
        <w:t>促进</w:t>
      </w:r>
      <w:r>
        <w:rPr>
          <w:rFonts w:hint="eastAsia"/>
          <w:color w:val="auto"/>
          <w:lang w:eastAsia="zh-CN"/>
        </w:rPr>
        <w:t>安全可控技术</w:t>
      </w:r>
      <w:r>
        <w:rPr>
          <w:rFonts w:hint="eastAsia"/>
          <w:color w:val="auto"/>
          <w:lang w:val="en-US" w:eastAsia="zh-CN"/>
        </w:rPr>
        <w:t>及应用解决方案的同业</w:t>
      </w:r>
      <w:r>
        <w:rPr>
          <w:rFonts w:hint="eastAsia"/>
          <w:color w:val="auto"/>
          <w:lang w:eastAsia="zh-CN"/>
        </w:rPr>
        <w:t>交流，</w:t>
      </w:r>
      <w:r>
        <w:rPr>
          <w:rFonts w:hint="default" w:ascii="仿宋_GB2312" w:hAnsi="仿宋_GB2312" w:eastAsia="仿宋_GB2312" w:cs="仿宋_GB2312"/>
          <w:lang w:val="en-US" w:eastAsia="zh-Hans"/>
        </w:rPr>
        <w:t>构建产业生态圈</w:t>
      </w:r>
      <w:r>
        <w:rPr>
          <w:rFonts w:hint="eastAsia"/>
          <w:color w:val="auto"/>
          <w:lang w:eastAsia="zh-CN"/>
        </w:rPr>
        <w:t>。鼓励金融机构、</w:t>
      </w:r>
      <w:r>
        <w:rPr>
          <w:rFonts w:hint="eastAsia"/>
          <w:color w:val="auto"/>
          <w:lang w:val="en-US" w:eastAsia="zh-CN"/>
        </w:rPr>
        <w:t>科技企业</w:t>
      </w:r>
      <w:r>
        <w:rPr>
          <w:rFonts w:hint="eastAsia"/>
          <w:color w:val="auto"/>
          <w:lang w:eastAsia="zh-CN"/>
        </w:rPr>
        <w:t>积极</w:t>
      </w:r>
      <w:r>
        <w:rPr>
          <w:rFonts w:hint="default" w:ascii="仿宋_GB2312" w:hAnsi="仿宋_GB2312" w:eastAsia="仿宋_GB2312" w:cs="仿宋_GB2312"/>
          <w:lang w:val="en-US" w:eastAsia="zh-Hans"/>
        </w:rPr>
        <w:t>发起并</w:t>
      </w:r>
      <w:r>
        <w:rPr>
          <w:rFonts w:hint="eastAsia"/>
          <w:color w:val="auto"/>
          <w:lang w:eastAsia="zh-CN"/>
        </w:rPr>
        <w:t>参与</w:t>
      </w:r>
      <w:r>
        <w:rPr>
          <w:rFonts w:hint="eastAsia"/>
          <w:color w:val="auto"/>
          <w:lang w:val="en-US" w:eastAsia="zh-CN"/>
        </w:rPr>
        <w:t>金融科技</w:t>
      </w:r>
      <w:r>
        <w:rPr>
          <w:rFonts w:hint="eastAsia"/>
          <w:color w:val="auto"/>
          <w:lang w:eastAsia="zh-CN"/>
        </w:rPr>
        <w:t>核心标准、</w:t>
      </w:r>
      <w:r>
        <w:rPr>
          <w:rFonts w:hint="eastAsia"/>
          <w:color w:val="auto"/>
          <w:lang w:val="en-US" w:eastAsia="zh-CN"/>
        </w:rPr>
        <w:t>行业标准、团体标准、企业标准的</w:t>
      </w:r>
      <w:r>
        <w:rPr>
          <w:rFonts w:hint="eastAsia"/>
          <w:color w:val="auto"/>
          <w:lang w:eastAsia="zh-CN"/>
        </w:rPr>
        <w:t>研究、制定及落地</w:t>
      </w:r>
      <w:r>
        <w:rPr>
          <w:rFonts w:hint="eastAsia"/>
          <w:color w:val="auto"/>
          <w:lang w:val="en-US" w:eastAsia="zh-CN"/>
        </w:rPr>
        <w:t>工作</w:t>
      </w:r>
      <w:r>
        <w:rPr>
          <w:rFonts w:hint="eastAsia"/>
          <w:color w:val="auto"/>
          <w:lang w:eastAsia="zh-CN"/>
        </w:rPr>
        <w:t>。</w:t>
      </w:r>
      <w:r>
        <w:rPr>
          <w:rFonts w:hint="eastAsia"/>
          <w:color w:val="auto"/>
          <w:lang w:val="en-US" w:eastAsia="zh-CN"/>
        </w:rPr>
        <w:t>引导督促</w:t>
      </w:r>
      <w:r>
        <w:rPr>
          <w:rFonts w:hint="eastAsia"/>
          <w:color w:val="auto"/>
          <w:lang w:eastAsia="zh-CN"/>
        </w:rPr>
        <w:t>金融机构选择符合国家及行业标准</w:t>
      </w:r>
      <w:r>
        <w:rPr>
          <w:rFonts w:hint="eastAsia"/>
          <w:color w:val="auto"/>
          <w:lang w:val="en-US" w:eastAsia="zh-CN"/>
        </w:rPr>
        <w:t>且</w:t>
      </w:r>
      <w:r>
        <w:rPr>
          <w:rFonts w:hint="default" w:ascii="仿宋_GB2312" w:hAnsi="仿宋_GB2312" w:eastAsia="仿宋_GB2312" w:cs="仿宋_GB2312"/>
          <w:lang w:val="en-US" w:eastAsia="zh-Hans"/>
        </w:rPr>
        <w:t>自主可控的安全产品及服务</w:t>
      </w:r>
      <w:r>
        <w:rPr>
          <w:rFonts w:hint="eastAsia"/>
          <w:color w:val="auto"/>
          <w:lang w:eastAsia="zh-CN"/>
        </w:rPr>
        <w:t>，</w:t>
      </w:r>
      <w:r>
        <w:rPr>
          <w:rFonts w:hint="eastAsia"/>
          <w:color w:val="auto"/>
          <w:lang w:val="en-US" w:eastAsia="zh-CN"/>
        </w:rPr>
        <w:t>有效</w:t>
      </w:r>
      <w:r>
        <w:rPr>
          <w:rFonts w:hint="eastAsia"/>
          <w:color w:val="auto"/>
          <w:lang w:eastAsia="zh-CN"/>
        </w:rPr>
        <w:t>保证重要金融信息</w:t>
      </w:r>
      <w:r>
        <w:rPr>
          <w:rFonts w:hint="eastAsia"/>
          <w:color w:val="auto"/>
          <w:lang w:val="en-US" w:eastAsia="zh-CN"/>
        </w:rPr>
        <w:t>安全</w:t>
      </w:r>
      <w:r>
        <w:rPr>
          <w:rFonts w:hint="eastAsia"/>
          <w:color w:val="auto"/>
          <w:lang w:eastAsia="zh-CN"/>
        </w:rPr>
        <w:t>。</w:t>
      </w:r>
    </w:p>
    <w:p>
      <w:pPr>
        <w:pStyle w:val="4"/>
        <w:pageBreakBefore w:val="0"/>
        <w:widowControl w:val="0"/>
        <w:kinsoku/>
        <w:wordWrap/>
        <w:overflowPunct/>
        <w:topLinePunct w:val="0"/>
        <w:autoSpaceDE/>
        <w:autoSpaceDN/>
        <w:bidi w:val="0"/>
        <w:adjustRightInd/>
        <w:snapToGrid/>
        <w:spacing w:line="560" w:lineRule="exact"/>
        <w:textAlignment w:val="auto"/>
        <w:rPr>
          <w:rFonts w:hint="default"/>
          <w:color w:val="auto"/>
          <w:lang w:eastAsia="zh-CN"/>
        </w:rPr>
      </w:pPr>
      <w:bookmarkStart w:id="55" w:name="_Toc26569"/>
      <w:bookmarkStart w:id="56" w:name="_Toc732028252"/>
      <w:bookmarkStart w:id="57" w:name="_Toc20838"/>
      <w:r>
        <w:rPr>
          <w:rFonts w:hint="eastAsia"/>
          <w:color w:val="auto"/>
          <w:lang w:eastAsia="zh-CN"/>
        </w:rPr>
        <w:t>（</w:t>
      </w:r>
      <w:r>
        <w:rPr>
          <w:rFonts w:hint="eastAsia"/>
          <w:color w:val="auto"/>
          <w:lang w:val="en-US" w:eastAsia="zh-CN"/>
        </w:rPr>
        <w:t>八</w:t>
      </w:r>
      <w:r>
        <w:rPr>
          <w:rFonts w:hint="eastAsia"/>
          <w:color w:val="auto"/>
          <w:lang w:eastAsia="zh-CN"/>
        </w:rPr>
        <w:t>）</w:t>
      </w:r>
      <w:r>
        <w:rPr>
          <w:rFonts w:hint="default"/>
          <w:color w:val="auto"/>
          <w:lang w:eastAsia="zh-CN"/>
        </w:rPr>
        <w:t>扩大金融科技开放合作</w:t>
      </w:r>
      <w:bookmarkEnd w:id="55"/>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lang w:val="en-US" w:eastAsia="zh-CN"/>
        </w:rPr>
      </w:pPr>
      <w:bookmarkStart w:id="58" w:name="_Toc17187"/>
      <w:bookmarkStart w:id="59" w:name="_Toc2275"/>
      <w:r>
        <w:rPr>
          <w:rFonts w:hint="eastAsia"/>
          <w:b/>
          <w:bCs/>
          <w:color w:val="auto"/>
          <w:lang w:val="en-US" w:eastAsia="zh-CN"/>
        </w:rPr>
        <w:t>1.高水平组织</w:t>
      </w:r>
      <w:r>
        <w:rPr>
          <w:rFonts w:hint="default"/>
          <w:b/>
          <w:bCs/>
          <w:color w:val="auto"/>
        </w:rPr>
        <w:t>举办</w:t>
      </w:r>
      <w:r>
        <w:rPr>
          <w:rFonts w:hint="eastAsia"/>
          <w:b/>
          <w:bCs/>
          <w:color w:val="auto"/>
          <w:lang w:val="en-US" w:eastAsia="zh-CN"/>
        </w:rPr>
        <w:t>金融科技系列活动</w:t>
      </w:r>
      <w:bookmarkEnd w:id="58"/>
      <w:r>
        <w:rPr>
          <w:rFonts w:hint="eastAsia"/>
          <w:b/>
          <w:bCs/>
          <w:color w:val="auto"/>
          <w:lang w:eastAsia="zh-CN"/>
        </w:rPr>
        <w:t>。</w:t>
      </w:r>
      <w:r>
        <w:rPr>
          <w:rFonts w:hint="eastAsia"/>
          <w:b w:val="0"/>
          <w:bCs w:val="0"/>
          <w:color w:val="auto"/>
          <w:lang w:val="en-US" w:eastAsia="zh-CN"/>
        </w:rPr>
        <w:t>市政府每年举办金融科技节，打造具有全球影响力的金融科技年度盛会。市区联动组织举办金融科技大赛，进一步聚集政产学研用跨界资源，吸引金融科技优质项目在深落地，助力初创型金融科技类企业孵化成长。依托深圳国际金融博览会举办金融科技成果展示交易会，建设金融科技成果展示交易中心，吸引国内外企业长期合作或投资入驻，搭建金融科技研发成果向现实生产力转化的高端展销平台。</w:t>
      </w:r>
      <w:r>
        <w:rPr>
          <w:rFonts w:hint="default"/>
          <w:color w:val="auto"/>
        </w:rPr>
        <w:t>充分发挥深圳市金融科技协会作用，支持</w:t>
      </w:r>
      <w:r>
        <w:rPr>
          <w:rFonts w:hint="eastAsia"/>
          <w:color w:val="auto"/>
          <w:lang w:val="en-US" w:eastAsia="zh-CN"/>
        </w:rPr>
        <w:t>举办</w:t>
      </w:r>
      <w:r>
        <w:rPr>
          <w:rFonts w:hint="default"/>
          <w:color w:val="auto"/>
        </w:rPr>
        <w:t>湾区金融科技人才节</w:t>
      </w:r>
      <w:r>
        <w:rPr>
          <w:rFonts w:hint="eastAsia"/>
          <w:color w:val="auto"/>
          <w:lang w:eastAsia="zh-CN"/>
        </w:rPr>
        <w:t>，</w:t>
      </w:r>
      <w:r>
        <w:rPr>
          <w:rFonts w:hint="eastAsia"/>
          <w:color w:val="auto"/>
          <w:lang w:val="en-US" w:eastAsia="zh-CN"/>
        </w:rPr>
        <w:t>助力完善金融科技人才体系。鼓励各类市场主体举办常态化、多元化和具备针对性、实效性的金融科技技术研讨、案例分析、项目评选等活动，共同营造良好生态。</w:t>
      </w:r>
    </w:p>
    <w:p>
      <w:pPr>
        <w:bidi w:val="0"/>
        <w:rPr>
          <w:rFonts w:hint="default"/>
          <w:lang w:val="en-US" w:eastAsia="zh-CN"/>
        </w:rPr>
      </w:pPr>
    </w:p>
    <w:tbl>
      <w:tblPr>
        <w:tblStyle w:val="15"/>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5" w:type="dxa"/>
            <w:tcMar>
              <w:top w:w="57" w:type="dxa"/>
              <w:left w:w="170" w:type="dxa"/>
              <w:bottom w:w="57" w:type="dxa"/>
              <w:right w:w="170" w:type="dxa"/>
            </w:tcMar>
            <w:vAlign w:val="top"/>
          </w:tcPr>
          <w:p>
            <w:pPr>
              <w:pStyle w:val="2"/>
              <w:keepNext w:val="0"/>
              <w:keepLines w:val="0"/>
              <w:pageBreakBefore w:val="0"/>
              <w:widowControl w:val="0"/>
              <w:kinsoku/>
              <w:wordWrap/>
              <w:overflowPunct/>
              <w:topLinePunct w:val="0"/>
              <w:autoSpaceDE/>
              <w:autoSpaceDN/>
              <w:bidi w:val="0"/>
              <w:adjustRightInd/>
              <w:snapToGrid w:val="0"/>
              <w:spacing w:before="219" w:beforeLines="50" w:after="110" w:afterLines="25" w:line="440" w:lineRule="exact"/>
              <w:ind w:left="0" w:leftChars="0" w:firstLine="0" w:firstLineChars="0"/>
              <w:jc w:val="both"/>
              <w:textAlignment w:val="baseline"/>
              <w:rPr>
                <w:rFonts w:hint="eastAsia"/>
                <w:sz w:val="28"/>
                <w:szCs w:val="21"/>
                <w:lang w:val="en-US" w:eastAsia="zh-CN"/>
              </w:rPr>
            </w:pPr>
            <w:r>
              <w:rPr>
                <w:rFonts w:hint="eastAsia"/>
                <w:b/>
                <w:bCs/>
                <w:sz w:val="28"/>
                <w:szCs w:val="21"/>
                <w:lang w:val="en-US" w:eastAsia="zh-CN"/>
              </w:rPr>
              <w:t>专栏6：深圳国际金融科技节</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2022年4月7日，《深圳市扶持金融科技发展若干措施》出台实施，其中明确提出市政府每年举办金融科技节，期间举办金融科技大赛、金融科技论坛和金融科技展，并对“一节一赛一论坛一展览”给予相应政策支持，包括：</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对于金融科技大赛，以市场化加政府补贴的方式对经费予以保障，市人民政府按照经审计举办费用的50%给予不超过300万元的举办经费支持，对于大赛中获奖并选择落地深圳的项目给予合计1000万元的奖金支持，并在创业空间、创业服务、资金资助等方面提供一系列的配套扶持政策。</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对于在金融科技节期间举办的、经事前备案和事后审计的论坛及其他大型交流活动，按照经审计举办费用的50%对承办方给予总计不超过400万元的举办经费支持。</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依托现有的深圳国际金融博览会举办深圳金融科技成果展示交易会，按照经审计举办费用的50%对承办方给予总计不超过200万元的举办经费支持。</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lang w:val="en-US" w:eastAsia="zh-CN"/>
              </w:rPr>
            </w:pPr>
            <w:r>
              <w:rPr>
                <w:rFonts w:hint="eastAsia" w:ascii="楷体_GB2312" w:hAnsi="楷体_GB2312" w:eastAsia="楷体_GB2312" w:cs="楷体_GB2312"/>
                <w:spacing w:val="-6"/>
                <w:sz w:val="28"/>
                <w:szCs w:val="21"/>
                <w:lang w:val="en-US" w:eastAsia="zh-CN"/>
              </w:rPr>
              <w:t>建设深圳金融科技成果展示交易中心，吸引国内外企业长期合作或投资入驻，打造全球优质金融科技产品发布高地。</w:t>
            </w:r>
          </w:p>
        </w:tc>
      </w:tr>
    </w:tbl>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lang w:val="en-US" w:eastAsia="zh-CN"/>
        </w:rPr>
      </w:pPr>
      <w:r>
        <w:rPr>
          <w:rFonts w:hint="eastAsia"/>
          <w:b/>
          <w:bCs/>
          <w:lang w:val="en-US" w:eastAsia="zh-CN"/>
        </w:rPr>
        <w:t>2.</w:t>
      </w:r>
      <w:r>
        <w:rPr>
          <w:rFonts w:hint="default"/>
          <w:b/>
          <w:bCs/>
          <w:lang w:val="en-US" w:eastAsia="zh-CN"/>
        </w:rPr>
        <w:t>加强</w:t>
      </w:r>
      <w:r>
        <w:rPr>
          <w:rFonts w:hint="eastAsia"/>
          <w:b/>
          <w:bCs/>
          <w:lang w:val="en-US" w:eastAsia="zh-CN"/>
        </w:rPr>
        <w:t>金融科技</w:t>
      </w:r>
      <w:r>
        <w:rPr>
          <w:rFonts w:hint="default"/>
          <w:b/>
          <w:bCs/>
          <w:lang w:val="en-US" w:eastAsia="zh-CN"/>
        </w:rPr>
        <w:t>国际交流合作</w:t>
      </w:r>
      <w:bookmarkEnd w:id="59"/>
      <w:r>
        <w:rPr>
          <w:rFonts w:hint="eastAsia"/>
          <w:b/>
          <w:bCs/>
          <w:lang w:val="en-US" w:eastAsia="zh-CN"/>
        </w:rPr>
        <w:t>。</w:t>
      </w:r>
      <w:r>
        <w:rPr>
          <w:rFonts w:hint="eastAsia"/>
          <w:lang w:val="en-US" w:eastAsia="zh-CN"/>
        </w:rPr>
        <w:t>引导鼓励与全球金融中心城市开展金融科技人才培养及交流合作，加强与新加坡金融科技节、香港金融科技周等国际活动的联动合作，逐步提升深圳金融科技的知名度。充分发挥深港澳金融科技联盟等组织作用，探索完善与香港、澳门在金融科技领域的合作交流机制；支持组织举办“粤港澳大湾区金融科技飞鱼企业评选”等特色活动，遴选挖掘一批竞争优势突出、科创能力强、增长潜力大的高成长性企业，促进粤港澳大湾区金融科技融合发展。鼓励国际组织、外资金融机构、专业中介机构等参与深圳金融科技中心建设，引荐全球金融科技要素资源，助力优秀金融科技类企业“走出去”和优质金融科技项目“引进来”。充分利用各种媒体渠道，加强深圳金融科技中心城市建设的国际宣传。</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rPr>
      </w:pPr>
      <w:bookmarkStart w:id="60" w:name="_Toc1796965817"/>
      <w:bookmarkStart w:id="61" w:name="_Toc5930"/>
      <w:bookmarkStart w:id="62" w:name="_Toc5222"/>
      <w:r>
        <w:rPr>
          <w:rFonts w:hint="eastAsia" w:ascii="Times New Roman" w:hAnsi="Times New Roman" w:cs="Times New Roman"/>
          <w:color w:val="auto"/>
          <w:lang w:val="en-US" w:eastAsia="zh-CN"/>
        </w:rPr>
        <w:t>四、</w:t>
      </w:r>
      <w:r>
        <w:rPr>
          <w:rFonts w:hint="default" w:ascii="Times New Roman" w:hAnsi="Times New Roman" w:cs="Times New Roman"/>
          <w:color w:val="auto"/>
        </w:rPr>
        <w:t>保障措施</w:t>
      </w:r>
      <w:bookmarkEnd w:id="60"/>
      <w:bookmarkEnd w:id="61"/>
      <w:bookmarkEnd w:id="62"/>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color w:val="auto"/>
          <w:lang w:val="en-US" w:eastAsia="zh-CN"/>
        </w:rPr>
      </w:pPr>
      <w:bookmarkStart w:id="63" w:name="_Toc17517"/>
      <w:bookmarkStart w:id="64" w:name="_Toc15920"/>
      <w:bookmarkStart w:id="65" w:name="_Toc563530037"/>
      <w:r>
        <w:rPr>
          <w:rFonts w:hint="eastAsia" w:ascii="Times New Roman" w:hAnsi="Times New Roman" w:eastAsia="楷体_GB2312" w:cs="Times New Roman"/>
          <w:color w:val="auto"/>
        </w:rPr>
        <w:t>（一）</w:t>
      </w:r>
      <w:r>
        <w:rPr>
          <w:rFonts w:hint="eastAsia" w:ascii="Times New Roman" w:hAnsi="Times New Roman" w:cs="Times New Roman"/>
          <w:color w:val="auto"/>
          <w:lang w:val="en-US" w:eastAsia="zh-CN"/>
        </w:rPr>
        <w:t>加强</w:t>
      </w:r>
      <w:r>
        <w:rPr>
          <w:rFonts w:hint="eastAsia" w:ascii="Times New Roman" w:hAnsi="Times New Roman" w:eastAsia="楷体_GB2312" w:cs="Times New Roman"/>
          <w:color w:val="auto"/>
        </w:rPr>
        <w:t>组织</w:t>
      </w:r>
      <w:bookmarkEnd w:id="63"/>
      <w:bookmarkEnd w:id="64"/>
      <w:r>
        <w:rPr>
          <w:rFonts w:hint="eastAsia" w:ascii="Times New Roman" w:hAnsi="Times New Roman" w:cs="Times New Roman"/>
          <w:color w:val="auto"/>
          <w:lang w:val="en-US" w:eastAsia="zh-CN"/>
        </w:rPr>
        <w:t>统筹</w:t>
      </w:r>
      <w:bookmarkEnd w:id="6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color w:val="auto"/>
          <w:lang w:val="en-US" w:eastAsia="zh-CN"/>
        </w:rPr>
      </w:pPr>
      <w:bookmarkStart w:id="66" w:name="_Toc12408"/>
      <w:r>
        <w:rPr>
          <w:rFonts w:hint="default" w:ascii="仿宋_GB2312" w:hAnsi="仿宋_GB2312" w:eastAsia="仿宋_GB2312" w:cs="仿宋_GB2312"/>
          <w:b/>
          <w:bCs/>
          <w:color w:val="auto"/>
        </w:rPr>
        <w:t>1.加强党的领导</w:t>
      </w:r>
      <w:bookmarkEnd w:id="66"/>
      <w:r>
        <w:rPr>
          <w:rFonts w:hint="eastAsia" w:cs="仿宋_GB2312"/>
          <w:b/>
          <w:bCs/>
          <w:color w:val="auto"/>
          <w:lang w:eastAsia="zh-CN"/>
        </w:rPr>
        <w:t>。</w:t>
      </w:r>
      <w:bookmarkStart w:id="67" w:name="_Toc29056"/>
      <w:r>
        <w:rPr>
          <w:rFonts w:hint="eastAsia" w:cs="仿宋_GB2312"/>
          <w:b w:val="0"/>
          <w:bCs w:val="0"/>
          <w:color w:val="auto"/>
          <w:lang w:val="en-US" w:eastAsia="zh-CN"/>
        </w:rPr>
        <w:t>始终</w:t>
      </w:r>
      <w:r>
        <w:rPr>
          <w:rFonts w:hint="eastAsia"/>
          <w:color w:val="auto"/>
        </w:rPr>
        <w:t>坚持党对金融工作的集中统一领导，</w:t>
      </w:r>
      <w:r>
        <w:rPr>
          <w:rFonts w:hint="eastAsia"/>
          <w:color w:val="auto"/>
          <w:lang w:val="en-US" w:eastAsia="zh-CN"/>
        </w:rPr>
        <w:t>深刻学习领会党中央、国务院决策部署精神，确保金融科技发展的正确方向。</w:t>
      </w:r>
      <w:r>
        <w:rPr>
          <w:rFonts w:hint="eastAsia"/>
          <w:color w:val="auto"/>
        </w:rPr>
        <w:t>充分发挥党建引领作用，</w:t>
      </w:r>
      <w:r>
        <w:rPr>
          <w:rFonts w:hint="eastAsia"/>
          <w:color w:val="auto"/>
          <w:lang w:val="en-US" w:eastAsia="zh-CN"/>
        </w:rPr>
        <w:t>扎实推进新兴金融行业党的</w:t>
      </w:r>
      <w:r>
        <w:rPr>
          <w:rFonts w:hint="eastAsia"/>
          <w:color w:val="auto"/>
        </w:rPr>
        <w:t>组织和党的工作“两个覆盖”</w:t>
      </w:r>
      <w:r>
        <w:rPr>
          <w:rFonts w:hint="eastAsia"/>
          <w:color w:val="auto"/>
          <w:lang w:eastAsia="zh-CN"/>
        </w:rPr>
        <w:t>。</w:t>
      </w:r>
      <w:r>
        <w:rPr>
          <w:rFonts w:hint="eastAsia"/>
          <w:color w:val="auto"/>
          <w:lang w:val="en-US" w:eastAsia="zh-CN"/>
        </w:rPr>
        <w:t>引导各类金融科技主体加强基层党组织建设，切实</w:t>
      </w:r>
      <w:r>
        <w:rPr>
          <w:rFonts w:hint="eastAsia"/>
          <w:color w:val="auto"/>
        </w:rPr>
        <w:t>发挥企业党组织的领导核心和政治核心作用，</w:t>
      </w:r>
      <w:r>
        <w:rPr>
          <w:rFonts w:hint="eastAsia"/>
          <w:color w:val="auto"/>
          <w:lang w:val="en-US" w:eastAsia="zh-CN"/>
        </w:rPr>
        <w:t>牢固树立宗旨意识，让金融科技发展成果更广泛深入地惠及广大人民群众，助力实现共同富裕。</w:t>
      </w:r>
    </w:p>
    <w:bookmarkEnd w:id="67"/>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rPr>
      </w:pPr>
      <w:bookmarkStart w:id="68" w:name="_Toc15609"/>
      <w:r>
        <w:rPr>
          <w:rFonts w:hint="default" w:ascii="仿宋_GB2312" w:hAnsi="仿宋_GB2312" w:eastAsia="仿宋_GB2312" w:cs="仿宋_GB2312"/>
          <w:b/>
          <w:bCs/>
          <w:color w:val="auto"/>
        </w:rPr>
        <w:t>2.</w:t>
      </w:r>
      <w:bookmarkEnd w:id="68"/>
      <w:r>
        <w:rPr>
          <w:rFonts w:hint="eastAsia" w:cs="仿宋_GB2312"/>
          <w:b/>
          <w:bCs/>
          <w:color w:val="auto"/>
          <w:lang w:val="en-US" w:eastAsia="zh-CN"/>
        </w:rPr>
        <w:t>强化协同联动</w:t>
      </w:r>
      <w:r>
        <w:rPr>
          <w:rFonts w:hint="eastAsia" w:cs="仿宋_GB2312"/>
          <w:b/>
          <w:bCs/>
          <w:color w:val="auto"/>
          <w:lang w:eastAsia="zh-CN"/>
        </w:rPr>
        <w:t>。</w:t>
      </w:r>
      <w:bookmarkStart w:id="69" w:name="_Toc27724"/>
      <w:r>
        <w:rPr>
          <w:rFonts w:hint="eastAsia"/>
          <w:color w:val="auto"/>
          <w:lang w:val="en-US" w:eastAsia="zh-CN"/>
        </w:rPr>
        <w:t>构建</w:t>
      </w:r>
      <w:r>
        <w:rPr>
          <w:rFonts w:hint="eastAsia"/>
          <w:color w:val="auto"/>
        </w:rPr>
        <w:t>市、区金融工作部门常态化沟通协调机制，在金融</w:t>
      </w:r>
      <w:r>
        <w:rPr>
          <w:rFonts w:hint="eastAsia"/>
          <w:color w:val="auto"/>
          <w:lang w:val="en-US" w:eastAsia="zh-CN"/>
        </w:rPr>
        <w:t>科技空间</w:t>
      </w:r>
      <w:r>
        <w:rPr>
          <w:rFonts w:hint="eastAsia"/>
          <w:color w:val="auto"/>
        </w:rPr>
        <w:t>布局、</w:t>
      </w:r>
      <w:r>
        <w:rPr>
          <w:rFonts w:hint="eastAsia"/>
          <w:color w:val="auto"/>
          <w:lang w:val="en-US" w:eastAsia="zh-CN"/>
        </w:rPr>
        <w:t>重大</w:t>
      </w:r>
      <w:r>
        <w:rPr>
          <w:rFonts w:hint="eastAsia"/>
          <w:color w:val="auto"/>
        </w:rPr>
        <w:t>项目</w:t>
      </w:r>
      <w:r>
        <w:rPr>
          <w:rFonts w:hint="eastAsia"/>
          <w:color w:val="auto"/>
          <w:lang w:val="en-US" w:eastAsia="zh-CN"/>
        </w:rPr>
        <w:t>落地</w:t>
      </w:r>
      <w:r>
        <w:rPr>
          <w:rFonts w:hint="eastAsia"/>
          <w:color w:val="auto"/>
        </w:rPr>
        <w:t>、</w:t>
      </w:r>
      <w:r>
        <w:rPr>
          <w:rFonts w:hint="eastAsia"/>
          <w:color w:val="auto"/>
          <w:lang w:val="en-US" w:eastAsia="zh-CN"/>
        </w:rPr>
        <w:t>配套资源支撑</w:t>
      </w:r>
      <w:r>
        <w:rPr>
          <w:rFonts w:hint="eastAsia"/>
          <w:color w:val="auto"/>
        </w:rPr>
        <w:t>等方面加强</w:t>
      </w:r>
      <w:r>
        <w:rPr>
          <w:rFonts w:hint="eastAsia"/>
          <w:color w:val="auto"/>
          <w:lang w:val="en-US" w:eastAsia="zh-CN"/>
        </w:rPr>
        <w:t>联动</w:t>
      </w:r>
      <w:r>
        <w:rPr>
          <w:rFonts w:hint="eastAsia"/>
          <w:color w:val="auto"/>
        </w:rPr>
        <w:t>合作</w:t>
      </w:r>
      <w:r>
        <w:rPr>
          <w:rFonts w:hint="eastAsia"/>
          <w:color w:val="auto"/>
          <w:lang w:eastAsia="zh-CN"/>
        </w:rPr>
        <w:t>。</w:t>
      </w:r>
      <w:r>
        <w:rPr>
          <w:rFonts w:hint="eastAsia"/>
          <w:color w:val="auto"/>
        </w:rPr>
        <w:t>鼓励各区采取差异化措施支持辖区金融</w:t>
      </w:r>
      <w:r>
        <w:rPr>
          <w:rFonts w:hint="eastAsia"/>
          <w:color w:val="auto"/>
          <w:lang w:val="en-US" w:eastAsia="zh-CN"/>
        </w:rPr>
        <w:t>科技</w:t>
      </w:r>
      <w:r>
        <w:rPr>
          <w:rFonts w:hint="eastAsia"/>
          <w:color w:val="auto"/>
        </w:rPr>
        <w:t>产业发展，形成</w:t>
      </w:r>
      <w:r>
        <w:rPr>
          <w:rFonts w:hint="eastAsia"/>
          <w:color w:val="auto"/>
          <w:lang w:val="en-US" w:eastAsia="zh-CN"/>
        </w:rPr>
        <w:t>协同</w:t>
      </w:r>
      <w:r>
        <w:rPr>
          <w:rFonts w:hint="eastAsia"/>
          <w:color w:val="auto"/>
        </w:rPr>
        <w:t>互补格局。加强与</w:t>
      </w:r>
      <w:r>
        <w:rPr>
          <w:rFonts w:hint="eastAsia"/>
          <w:color w:val="auto"/>
          <w:lang w:val="en-US" w:eastAsia="zh-CN"/>
        </w:rPr>
        <w:t>驻深</w:t>
      </w:r>
      <w:r>
        <w:rPr>
          <w:rFonts w:hint="eastAsia"/>
          <w:color w:val="auto"/>
        </w:rPr>
        <w:t>“一行两</w:t>
      </w:r>
      <w:r>
        <w:rPr>
          <w:rFonts w:hint="eastAsia"/>
          <w:color w:val="auto"/>
          <w:lang w:val="en-US" w:eastAsia="zh-CN"/>
        </w:rPr>
        <w:t>局</w:t>
      </w:r>
      <w:r>
        <w:rPr>
          <w:rFonts w:hint="eastAsia"/>
          <w:color w:val="auto"/>
        </w:rPr>
        <w:t>”</w:t>
      </w:r>
      <w:r>
        <w:rPr>
          <w:rFonts w:hint="eastAsia"/>
          <w:color w:val="auto"/>
          <w:lang w:val="en-US" w:eastAsia="zh-CN"/>
        </w:rPr>
        <w:t>金融监管部门</w:t>
      </w:r>
      <w:r>
        <w:rPr>
          <w:rFonts w:hint="eastAsia"/>
          <w:color w:val="auto"/>
        </w:rPr>
        <w:t>的</w:t>
      </w:r>
      <w:r>
        <w:rPr>
          <w:rFonts w:hint="eastAsia"/>
          <w:color w:val="auto"/>
          <w:lang w:val="en-US" w:eastAsia="zh-CN"/>
        </w:rPr>
        <w:t>信息共享、</w:t>
      </w:r>
      <w:r>
        <w:rPr>
          <w:rFonts w:hint="eastAsia"/>
          <w:color w:val="auto"/>
        </w:rPr>
        <w:t>沟通协作，</w:t>
      </w:r>
      <w:r>
        <w:rPr>
          <w:rFonts w:hint="eastAsia"/>
          <w:color w:val="auto"/>
          <w:lang w:val="en-US" w:eastAsia="zh-CN"/>
        </w:rPr>
        <w:t>共同深化金融科技创新试点，及时研究金融科技发展过程中面临的痛点难点问题和相应对策措施，</w:t>
      </w:r>
      <w:r>
        <w:rPr>
          <w:rFonts w:hint="eastAsia"/>
          <w:color w:val="auto"/>
        </w:rPr>
        <w:t>形成统筹推进规划实施的联动合力。</w:t>
      </w:r>
    </w:p>
    <w:bookmarkEnd w:id="69"/>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楷体_GB2312"/>
          <w:color w:val="auto"/>
          <w:lang w:val="en-US" w:eastAsia="zh-CN"/>
        </w:rPr>
      </w:pPr>
      <w:bookmarkStart w:id="70" w:name="_Toc16885"/>
      <w:bookmarkStart w:id="71" w:name="_Toc6427"/>
      <w:bookmarkStart w:id="72" w:name="_Toc486908170"/>
      <w:r>
        <w:rPr>
          <w:rFonts w:hint="eastAsia"/>
          <w:color w:val="auto"/>
        </w:rPr>
        <w:t>（二）</w:t>
      </w:r>
      <w:bookmarkEnd w:id="70"/>
      <w:bookmarkEnd w:id="71"/>
      <w:r>
        <w:rPr>
          <w:rFonts w:hint="eastAsia"/>
          <w:color w:val="auto"/>
          <w:lang w:val="en-US" w:eastAsia="zh-CN"/>
        </w:rPr>
        <w:t>完善配套体系</w:t>
      </w:r>
      <w:bookmarkEnd w:id="7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rPr>
      </w:pPr>
      <w:bookmarkStart w:id="73" w:name="_Toc27483"/>
      <w:bookmarkStart w:id="74" w:name="_Toc22233"/>
      <w:r>
        <w:rPr>
          <w:rFonts w:hint="eastAsia"/>
          <w:b/>
          <w:bCs/>
          <w:color w:val="auto"/>
          <w:lang w:val="en-US" w:eastAsia="zh-CN"/>
        </w:rPr>
        <w:t>1.建立监测评估机制</w:t>
      </w:r>
      <w:r>
        <w:rPr>
          <w:rFonts w:hint="eastAsia"/>
          <w:color w:val="auto"/>
          <w:lang w:val="en-US" w:eastAsia="zh-CN"/>
        </w:rPr>
        <w:t>。</w:t>
      </w:r>
      <w:r>
        <w:rPr>
          <w:rFonts w:hint="eastAsia"/>
          <w:color w:val="auto"/>
        </w:rPr>
        <w:t>密切跟踪</w:t>
      </w:r>
      <w:r>
        <w:rPr>
          <w:rFonts w:hint="eastAsia"/>
          <w:color w:val="auto"/>
          <w:lang w:val="en-US" w:eastAsia="zh-CN"/>
        </w:rPr>
        <w:t>国内外金融科技发展的新趋势、新技术、新形势</w:t>
      </w:r>
      <w:r>
        <w:rPr>
          <w:rFonts w:hint="eastAsia"/>
          <w:color w:val="auto"/>
        </w:rPr>
        <w:t>，</w:t>
      </w:r>
      <w:r>
        <w:rPr>
          <w:rFonts w:hint="eastAsia"/>
          <w:color w:val="auto"/>
          <w:lang w:val="en-US" w:eastAsia="zh-CN"/>
        </w:rPr>
        <w:t>加强基础理论、</w:t>
      </w:r>
      <w:r>
        <w:rPr>
          <w:rFonts w:hint="eastAsia"/>
          <w:color w:val="auto"/>
        </w:rPr>
        <w:t>政策</w:t>
      </w:r>
      <w:r>
        <w:rPr>
          <w:rFonts w:hint="eastAsia"/>
          <w:color w:val="auto"/>
          <w:lang w:val="en-US" w:eastAsia="zh-CN"/>
        </w:rPr>
        <w:t>导向和实践案例</w:t>
      </w:r>
      <w:r>
        <w:rPr>
          <w:rFonts w:hint="eastAsia"/>
          <w:color w:val="auto"/>
        </w:rPr>
        <w:t>研究</w:t>
      </w:r>
      <w:r>
        <w:rPr>
          <w:rFonts w:hint="eastAsia"/>
          <w:color w:val="auto"/>
          <w:lang w:eastAsia="zh-CN"/>
        </w:rPr>
        <w:t>。</w:t>
      </w:r>
      <w:r>
        <w:rPr>
          <w:rFonts w:hint="default"/>
          <w:color w:val="auto"/>
        </w:rPr>
        <w:t>探索建立科学合理的金融科技产业统计监测体系，</w:t>
      </w:r>
      <w:r>
        <w:rPr>
          <w:rFonts w:hint="eastAsia"/>
          <w:color w:val="auto"/>
        </w:rPr>
        <w:t>加强对本市金融</w:t>
      </w:r>
      <w:r>
        <w:rPr>
          <w:rFonts w:hint="eastAsia"/>
          <w:color w:val="auto"/>
          <w:lang w:val="en-US" w:eastAsia="zh-CN"/>
        </w:rPr>
        <w:t>科技</w:t>
      </w:r>
      <w:r>
        <w:rPr>
          <w:rFonts w:hint="eastAsia"/>
          <w:color w:val="auto"/>
        </w:rPr>
        <w:t>运行情况的分析研判。</w:t>
      </w:r>
      <w:r>
        <w:rPr>
          <w:rFonts w:hint="eastAsia"/>
          <w:color w:val="auto"/>
          <w:lang w:val="en-US" w:eastAsia="zh-CN"/>
        </w:rPr>
        <w:t>加强精细化管理，</w:t>
      </w:r>
      <w:r>
        <w:rPr>
          <w:rFonts w:hint="eastAsia"/>
          <w:color w:val="auto"/>
        </w:rPr>
        <w:t>根据规划实施情况和形势变化，</w:t>
      </w:r>
      <w:r>
        <w:rPr>
          <w:rFonts w:hint="eastAsia"/>
          <w:color w:val="auto"/>
          <w:lang w:val="en-US" w:eastAsia="zh-CN"/>
        </w:rPr>
        <w:t>适时</w:t>
      </w:r>
      <w:r>
        <w:rPr>
          <w:rFonts w:hint="eastAsia"/>
          <w:color w:val="auto"/>
        </w:rPr>
        <w:t>对规划设定目标和</w:t>
      </w:r>
      <w:r>
        <w:rPr>
          <w:rFonts w:hint="eastAsia"/>
          <w:color w:val="auto"/>
          <w:lang w:eastAsia="zh-CN"/>
        </w:rPr>
        <w:t>具体落实措施作出</w:t>
      </w:r>
      <w:r>
        <w:rPr>
          <w:rFonts w:hint="eastAsia"/>
          <w:color w:val="auto"/>
          <w:lang w:val="en-US" w:eastAsia="zh-CN"/>
        </w:rPr>
        <w:t>相应</w:t>
      </w:r>
      <w:r>
        <w:rPr>
          <w:rFonts w:hint="eastAsia"/>
          <w:color w:val="auto"/>
        </w:rPr>
        <w:t>调整，确保顺应新形势、把握新机遇。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color w:val="auto"/>
          <w:lang w:eastAsia="zh-CN"/>
        </w:rPr>
      </w:pPr>
      <w:r>
        <w:rPr>
          <w:rFonts w:hint="eastAsia"/>
          <w:b/>
          <w:bCs/>
          <w:color w:val="auto"/>
          <w:lang w:val="en-US" w:eastAsia="zh-CN"/>
        </w:rPr>
        <w:t>2.健全政策支持体系</w:t>
      </w:r>
      <w:r>
        <w:rPr>
          <w:rFonts w:hint="eastAsia"/>
          <w:color w:val="auto"/>
          <w:lang w:val="en-US" w:eastAsia="zh-CN"/>
        </w:rPr>
        <w:t>。</w:t>
      </w:r>
      <w:r>
        <w:rPr>
          <w:rFonts w:hint="eastAsia"/>
          <w:color w:val="auto"/>
        </w:rPr>
        <w:t>针对金融</w:t>
      </w:r>
      <w:r>
        <w:rPr>
          <w:rFonts w:hint="eastAsia"/>
          <w:color w:val="auto"/>
          <w:lang w:eastAsia="zh-CN"/>
        </w:rPr>
        <w:t>科技基础设施、重点机构</w:t>
      </w:r>
      <w:r>
        <w:rPr>
          <w:rFonts w:hint="eastAsia"/>
          <w:color w:val="auto"/>
        </w:rPr>
        <w:t>、人才培育、</w:t>
      </w:r>
      <w:r>
        <w:rPr>
          <w:rFonts w:hint="eastAsia"/>
          <w:color w:val="auto"/>
          <w:lang w:eastAsia="zh-CN"/>
        </w:rPr>
        <w:t>项目引进、论坛赛事等方面，不断优化引导支持政策</w:t>
      </w:r>
      <w:r>
        <w:rPr>
          <w:rFonts w:hint="eastAsia"/>
          <w:color w:val="auto"/>
        </w:rPr>
        <w:t>，完善激励保障机制，提高政策的针对性和有效性。</w:t>
      </w:r>
      <w:bookmarkStart w:id="75" w:name="_Toc16318"/>
      <w:r>
        <w:rPr>
          <w:rFonts w:hint="eastAsia"/>
          <w:color w:val="auto"/>
          <w:lang w:eastAsia="zh-CN"/>
        </w:rPr>
        <w:t>加强对政策实施情况的跟踪评估，与时俱进进行修订或清理。</w:t>
      </w:r>
      <w:r>
        <w:rPr>
          <w:rFonts w:hint="eastAsia"/>
          <w:color w:val="auto"/>
        </w:rPr>
        <w:t>充分把握“双区”</w:t>
      </w:r>
      <w:r>
        <w:rPr>
          <w:rFonts w:hint="eastAsia"/>
          <w:color w:val="auto"/>
          <w:lang w:eastAsia="zh-CN"/>
        </w:rPr>
        <w:t>建设、</w:t>
      </w:r>
      <w:r>
        <w:rPr>
          <w:rFonts w:hint="eastAsia"/>
          <w:color w:val="auto"/>
        </w:rPr>
        <w:t>“双区”</w:t>
      </w:r>
      <w:r>
        <w:rPr>
          <w:rFonts w:hint="eastAsia"/>
          <w:color w:val="auto"/>
          <w:lang w:eastAsia="zh-CN"/>
        </w:rPr>
        <w:t>叠加、“双改”示范</w:t>
      </w:r>
      <w:r>
        <w:rPr>
          <w:rFonts w:hint="eastAsia"/>
          <w:color w:val="auto"/>
        </w:rPr>
        <w:t>重大历史机遇，</w:t>
      </w:r>
      <w:r>
        <w:rPr>
          <w:rFonts w:hint="eastAsia"/>
          <w:color w:val="auto"/>
          <w:lang w:eastAsia="zh-CN"/>
        </w:rPr>
        <w:t>积极争取国家部委对深圳金融科技发展给予指导支持，配合推动金融科技领域改革项目、创新试点等在深落地。</w:t>
      </w:r>
    </w:p>
    <w:bookmarkEnd w:id="75"/>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楷体_GB2312"/>
          <w:color w:val="auto"/>
          <w:lang w:val="en-US" w:eastAsia="zh-CN"/>
        </w:rPr>
      </w:pPr>
      <w:bookmarkStart w:id="76" w:name="_Toc26976"/>
      <w:bookmarkStart w:id="77" w:name="_Toc30327"/>
      <w:bookmarkStart w:id="78" w:name="_Toc621433948"/>
      <w:r>
        <w:rPr>
          <w:rFonts w:hint="eastAsia"/>
          <w:color w:val="auto"/>
        </w:rPr>
        <w:t>（三）</w:t>
      </w:r>
      <w:bookmarkEnd w:id="76"/>
      <w:bookmarkEnd w:id="77"/>
      <w:r>
        <w:rPr>
          <w:rFonts w:hint="eastAsia"/>
          <w:color w:val="auto"/>
          <w:lang w:val="en-US" w:eastAsia="zh-CN"/>
        </w:rPr>
        <w:t>营造良好环境</w:t>
      </w:r>
      <w:bookmarkEnd w:id="78"/>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color w:val="auto"/>
          <w:lang w:val="en-US" w:eastAsia="zh-CN"/>
        </w:rPr>
      </w:pPr>
      <w:r>
        <w:rPr>
          <w:rFonts w:hint="eastAsia"/>
          <w:b/>
          <w:bCs/>
          <w:color w:val="auto"/>
          <w:lang w:val="en-US" w:eastAsia="zh-CN"/>
        </w:rPr>
        <w:t>1.完善公共服务体系</w:t>
      </w:r>
      <w:r>
        <w:rPr>
          <w:rFonts w:hint="eastAsia"/>
          <w:color w:val="auto"/>
          <w:lang w:val="en-US" w:eastAsia="zh-CN"/>
        </w:rPr>
        <w:t>。进一步推动政务数据在金融领域的开放、共享和应用，完善地方金融信息基础设施，在保护数据隐私和安全的前提下，为金融行业发展提供安全便利的数据环境，推动政务数据、企业数据和金融数据的融合应用。加强社会信用体系建设，支持相关部门与征信机构在信用记录归集、信用信息共享、信用风险预警、失信案例核查等方面加强合作。鼓励会计、法律、咨询、评估、评级等中介机构专业化、高端化发展，为金融科技类企业提供优质的专业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rPr>
      </w:pPr>
      <w:r>
        <w:rPr>
          <w:rFonts w:hint="eastAsia"/>
          <w:b/>
          <w:bCs/>
          <w:color w:val="auto"/>
          <w:lang w:val="en-US" w:eastAsia="zh-CN"/>
        </w:rPr>
        <w:t>2.营造良好环境氛围</w:t>
      </w:r>
      <w:r>
        <w:rPr>
          <w:rFonts w:hint="eastAsia"/>
          <w:color w:val="auto"/>
          <w:lang w:val="en-US" w:eastAsia="zh-CN"/>
        </w:rPr>
        <w:t>。加强金融科技相关法律法规制度宣传教育和政策解读，增强从业人员法治观念和合规意识，夯实可持续发展的法治保障。充分发挥行业协会、产业联盟、专业委员会等桥梁纽带作用，加强行业自律管理，凝聚行业发展共识。充分发挥市场配置资源的决定性作用，推动技术、数据、资本、人力等各类要素顺畅流动。深入推进深圳市居民金融素养提升工程，持续加强投资者风险教育。加强舆论宣传和信息披露，</w:t>
      </w:r>
      <w:r>
        <w:rPr>
          <w:rFonts w:hint="eastAsia"/>
          <w:color w:val="auto"/>
        </w:rPr>
        <w:t>畅通社会监督渠道，增强公众的认知、认可和认同，营造全社会共同参与和支持规划实施的良好氛围。</w:t>
      </w:r>
      <w:bookmarkEnd w:id="73"/>
      <w:bookmarkEnd w:id="74"/>
    </w:p>
    <w:sectPr>
      <w:footerReference r:id="rId9" w:type="default"/>
      <w:footerReference r:id="rId10" w:type="even"/>
      <w:pgSz w:w="11906" w:h="16838"/>
      <w:pgMar w:top="1984" w:right="1474" w:bottom="1417" w:left="1587" w:header="1361" w:footer="850" w:gutter="0"/>
      <w:pgNumType w:fmt="decimal" w:start="1"/>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3D809D-EC00-4682-89DC-4E900B4EE4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C542814-2E06-401B-AF50-28D8C3FC4D19}"/>
  </w:font>
  <w:font w:name="楷体_GB2312">
    <w:panose1 w:val="02010609030101010101"/>
    <w:charset w:val="86"/>
    <w:family w:val="modern"/>
    <w:pitch w:val="default"/>
    <w:sig w:usb0="00000001" w:usb1="080E0000" w:usb2="00000000" w:usb3="00000000" w:csb0="00040000" w:csb1="00000000"/>
    <w:embedRegular r:id="rId3" w:fontKey="{323E3A32-F9F6-4F59-B89E-E8443AE85CBC}"/>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039136ED-42EB-46DC-A2C1-B819ACB8A29E}"/>
  </w:font>
  <w:font w:name="方正小标宋_GBK">
    <w:panose1 w:val="02000000000000000000"/>
    <w:charset w:val="86"/>
    <w:family w:val="auto"/>
    <w:pitch w:val="default"/>
    <w:sig w:usb0="A00002BF" w:usb1="38CF7CFA" w:usb2="00082016" w:usb3="00000000" w:csb0="00040001" w:csb1="00000000"/>
    <w:embedRegular r:id="rId5" w:fontKey="{F155C6CA-9B92-48AD-BD18-4F5F62512138}"/>
  </w:font>
  <w:font w:name="楷体">
    <w:panose1 w:val="02010609060101010101"/>
    <w:charset w:val="86"/>
    <w:family w:val="modern"/>
    <w:pitch w:val="default"/>
    <w:sig w:usb0="800002BF" w:usb1="38CF7CFA" w:usb2="00000016" w:usb3="00000000" w:csb0="00040001" w:csb1="00000000"/>
    <w:embedRegular r:id="rId6" w:fontKey="{1E121A9E-96F5-454C-A9DD-42284DECE403}"/>
  </w:font>
  <w:font w:name="方正楷体_GB2312">
    <w:panose1 w:val="02000000000000000000"/>
    <w:charset w:val="86"/>
    <w:family w:val="auto"/>
    <w:pitch w:val="default"/>
    <w:sig w:usb0="A00002BF" w:usb1="184F6CFA" w:usb2="00000012" w:usb3="00000000" w:csb0="00040001" w:csb1="00000000"/>
    <w:embedRegular r:id="rId7" w:fontKey="{BF8ED63E-34F5-471D-8A65-4AD8D67723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_GB2312"/>
        <w:sz w:val="28"/>
        <w:szCs w:val="28"/>
      </w:rP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_GB2312"/>
        <w:sz w:val="28"/>
        <w:szCs w:val="28"/>
      </w:rP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9085806"/>
                          </w:sdtPr>
                          <w:sdtEndPr>
                            <w:rPr>
                              <w:rFonts w:hint="eastAsia" w:ascii="仿宋_GB2312"/>
                              <w:sz w:val="28"/>
                              <w:szCs w:val="28"/>
                            </w:rPr>
                          </w:sdtEndPr>
                          <w:sdtContent>
                            <w:p>
                              <w:pPr>
                                <w:pStyle w:val="8"/>
                                <w:jc w:val="right"/>
                                <w:rPr>
                                  <w:rFonts w:hint="eastAsia" w:ascii="仿宋_GB2312"/>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hint="eastAsia" w:ascii="仿宋_GB2312"/>
                                  <w:sz w:val="28"/>
                                  <w:szCs w:val="28"/>
                                  <w:lang w:val="zh-CN"/>
                                </w:rPr>
                                <w:t>2</w:t>
                              </w:r>
                              <w:r>
                                <w:rPr>
                                  <w:rFonts w:hint="eastAsia" w:ascii="仿宋_GB2312"/>
                                  <w:sz w:val="28"/>
                                  <w:szCs w:val="28"/>
                                </w:rPr>
                                <w:fldChar w:fldCharType="end"/>
                              </w:r>
                              <w:r>
                                <w:rPr>
                                  <w:rFonts w:ascii="仿宋_GB2312"/>
                                  <w:sz w:val="28"/>
                                  <w:szCs w:val="28"/>
                                </w:rPr>
                                <w:t xml:space="preserve"> </w:t>
                              </w:r>
                              <w:r>
                                <w:rPr>
                                  <w:rFonts w:hint="eastAsia" w:ascii="仿宋_GB2312"/>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79085806"/>
                    </w:sdtPr>
                    <w:sdtEndPr>
                      <w:rPr>
                        <w:rFonts w:hint="eastAsia" w:ascii="仿宋_GB2312"/>
                        <w:sz w:val="28"/>
                        <w:szCs w:val="28"/>
                      </w:rPr>
                    </w:sdtEndPr>
                    <w:sdtContent>
                      <w:p>
                        <w:pPr>
                          <w:pStyle w:val="8"/>
                          <w:jc w:val="right"/>
                          <w:rPr>
                            <w:rFonts w:hint="eastAsia" w:ascii="仿宋_GB2312"/>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hint="eastAsia" w:ascii="仿宋_GB2312"/>
                            <w:sz w:val="28"/>
                            <w:szCs w:val="28"/>
                            <w:lang w:val="zh-CN"/>
                          </w:rPr>
                          <w:t>2</w:t>
                        </w:r>
                        <w:r>
                          <w:rPr>
                            <w:rFonts w:hint="eastAsia" w:ascii="仿宋_GB2312"/>
                            <w:sz w:val="28"/>
                            <w:szCs w:val="28"/>
                          </w:rPr>
                          <w:fldChar w:fldCharType="end"/>
                        </w:r>
                        <w:r>
                          <w:rPr>
                            <w:rFonts w:ascii="仿宋_GB2312"/>
                            <w:sz w:val="28"/>
                            <w:szCs w:val="28"/>
                          </w:rPr>
                          <w:t xml:space="preserve"> </w:t>
                        </w:r>
                        <w:r>
                          <w:rPr>
                            <w:rFonts w:hint="eastAsia" w:ascii="仿宋_GB2312"/>
                            <w:sz w:val="28"/>
                            <w:szCs w:val="28"/>
                          </w:rPr>
                          <w:t>—</w:t>
                        </w:r>
                      </w:p>
                    </w:sdtContent>
                  </w:sdt>
                  <w:p>
                    <w:pPr>
                      <w:pStyle w:val="2"/>
                    </w:pPr>
                  </w:p>
                </w:txbxContent>
              </v:textbox>
            </v:shape>
          </w:pict>
        </mc:Fallback>
      </mc:AlternateContent>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00320397"/>
                          </w:sdtPr>
                          <w:sdtEndPr>
                            <w:rPr>
                              <w:sz w:val="28"/>
                              <w:szCs w:val="28"/>
                            </w:rPr>
                          </w:sdtEndPr>
                          <w:sdtContent>
                            <w:p>
                              <w:pPr>
                                <w:pStyle w:val="8"/>
                                <w:rPr>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hint="eastAsia" w:ascii="仿宋_GB2312"/>
                                  <w:sz w:val="28"/>
                                  <w:szCs w:val="28"/>
                                  <w:lang w:val="zh-CN"/>
                                </w:rPr>
                                <w:t>2</w:t>
                              </w:r>
                              <w:r>
                                <w:rPr>
                                  <w:rFonts w:hint="eastAsia" w:ascii="仿宋_GB2312"/>
                                  <w:sz w:val="28"/>
                                  <w:szCs w:val="28"/>
                                </w:rPr>
                                <w:fldChar w:fldCharType="end"/>
                              </w:r>
                              <w:r>
                                <w:rPr>
                                  <w:rFonts w:ascii="仿宋_GB2312"/>
                                  <w:sz w:val="28"/>
                                  <w:szCs w:val="28"/>
                                </w:rPr>
                                <w:t xml:space="preserve"> </w:t>
                              </w:r>
                              <w:r>
                                <w:rPr>
                                  <w:rFonts w:hint="eastAsia" w:ascii="仿宋_GB2312"/>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900320397"/>
                    </w:sdtPr>
                    <w:sdtEndPr>
                      <w:rPr>
                        <w:sz w:val="28"/>
                        <w:szCs w:val="28"/>
                      </w:rPr>
                    </w:sdtEndPr>
                    <w:sdtContent>
                      <w:p>
                        <w:pPr>
                          <w:pStyle w:val="8"/>
                          <w:rPr>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hint="eastAsia" w:ascii="仿宋_GB2312"/>
                            <w:sz w:val="28"/>
                            <w:szCs w:val="28"/>
                            <w:lang w:val="zh-CN"/>
                          </w:rPr>
                          <w:t>2</w:t>
                        </w:r>
                        <w:r>
                          <w:rPr>
                            <w:rFonts w:hint="eastAsia" w:ascii="仿宋_GB2312"/>
                            <w:sz w:val="28"/>
                            <w:szCs w:val="28"/>
                          </w:rPr>
                          <w:fldChar w:fldCharType="end"/>
                        </w:r>
                        <w:r>
                          <w:rPr>
                            <w:rFonts w:ascii="仿宋_GB2312"/>
                            <w:sz w:val="28"/>
                            <w:szCs w:val="28"/>
                          </w:rPr>
                          <w:t xml:space="preserve"> </w:t>
                        </w:r>
                        <w:r>
                          <w:rPr>
                            <w:rFonts w:hint="eastAsia" w:ascii="仿宋_GB2312"/>
                            <w:sz w:val="28"/>
                            <w:szCs w:val="28"/>
                          </w:rPr>
                          <w:t>—</w:t>
                        </w:r>
                      </w:p>
                    </w:sdtContent>
                  </w:sdt>
                  <w:p>
                    <w:pPr>
                      <w:pStyle w:val="2"/>
                    </w:pPr>
                  </w:p>
                </w:txbxContent>
              </v:textbox>
            </v:shape>
          </w:pict>
        </mc:Fallback>
      </mc:AlternateContent>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3MjdiMWE2ZjJiZGViMjQwNTJmMjVmNGQ5MmY4MDUifQ=="/>
  </w:docVars>
  <w:rsids>
    <w:rsidRoot w:val="00545B32"/>
    <w:rsid w:val="00001113"/>
    <w:rsid w:val="00037455"/>
    <w:rsid w:val="000A5CFA"/>
    <w:rsid w:val="000B3885"/>
    <w:rsid w:val="000B7EF5"/>
    <w:rsid w:val="000C7077"/>
    <w:rsid w:val="000E0CE9"/>
    <w:rsid w:val="000F4A9E"/>
    <w:rsid w:val="0014301C"/>
    <w:rsid w:val="00147EC4"/>
    <w:rsid w:val="00151933"/>
    <w:rsid w:val="0018652F"/>
    <w:rsid w:val="0020538E"/>
    <w:rsid w:val="00223D38"/>
    <w:rsid w:val="00254D60"/>
    <w:rsid w:val="00272EC5"/>
    <w:rsid w:val="002A178E"/>
    <w:rsid w:val="002E0E6E"/>
    <w:rsid w:val="002E1B5A"/>
    <w:rsid w:val="002E1BBB"/>
    <w:rsid w:val="002F14FB"/>
    <w:rsid w:val="00310F10"/>
    <w:rsid w:val="00322698"/>
    <w:rsid w:val="003762BF"/>
    <w:rsid w:val="00376BFE"/>
    <w:rsid w:val="00384F9F"/>
    <w:rsid w:val="00387507"/>
    <w:rsid w:val="003A4CBB"/>
    <w:rsid w:val="003A658C"/>
    <w:rsid w:val="003C094E"/>
    <w:rsid w:val="003E29D1"/>
    <w:rsid w:val="003F3026"/>
    <w:rsid w:val="004022A8"/>
    <w:rsid w:val="0041370C"/>
    <w:rsid w:val="0042080D"/>
    <w:rsid w:val="004544C1"/>
    <w:rsid w:val="00455B54"/>
    <w:rsid w:val="00483BE4"/>
    <w:rsid w:val="00492CAF"/>
    <w:rsid w:val="0049612A"/>
    <w:rsid w:val="004B5B0D"/>
    <w:rsid w:val="004D23D2"/>
    <w:rsid w:val="004D4658"/>
    <w:rsid w:val="004D6981"/>
    <w:rsid w:val="004E474F"/>
    <w:rsid w:val="004E481D"/>
    <w:rsid w:val="004F4FA9"/>
    <w:rsid w:val="005234B8"/>
    <w:rsid w:val="00537A79"/>
    <w:rsid w:val="00545B32"/>
    <w:rsid w:val="00577E65"/>
    <w:rsid w:val="00581AB9"/>
    <w:rsid w:val="005E02C5"/>
    <w:rsid w:val="00604473"/>
    <w:rsid w:val="00606804"/>
    <w:rsid w:val="00616CD2"/>
    <w:rsid w:val="00620E45"/>
    <w:rsid w:val="006425F0"/>
    <w:rsid w:val="00654E73"/>
    <w:rsid w:val="006552B6"/>
    <w:rsid w:val="00694A80"/>
    <w:rsid w:val="006A5053"/>
    <w:rsid w:val="006B26CB"/>
    <w:rsid w:val="006D3DC6"/>
    <w:rsid w:val="006D5549"/>
    <w:rsid w:val="006E7CF1"/>
    <w:rsid w:val="006F3213"/>
    <w:rsid w:val="00702588"/>
    <w:rsid w:val="0070756F"/>
    <w:rsid w:val="0073058B"/>
    <w:rsid w:val="0075077D"/>
    <w:rsid w:val="00752678"/>
    <w:rsid w:val="00754AAA"/>
    <w:rsid w:val="00756F8A"/>
    <w:rsid w:val="00760905"/>
    <w:rsid w:val="00761937"/>
    <w:rsid w:val="00783B79"/>
    <w:rsid w:val="00793B02"/>
    <w:rsid w:val="007A1924"/>
    <w:rsid w:val="007C28CC"/>
    <w:rsid w:val="007C3B7C"/>
    <w:rsid w:val="007C5A9F"/>
    <w:rsid w:val="007D0ED5"/>
    <w:rsid w:val="007F1944"/>
    <w:rsid w:val="007F511D"/>
    <w:rsid w:val="00800305"/>
    <w:rsid w:val="00801B48"/>
    <w:rsid w:val="00806279"/>
    <w:rsid w:val="008127A7"/>
    <w:rsid w:val="008145B6"/>
    <w:rsid w:val="00815EAA"/>
    <w:rsid w:val="00830F38"/>
    <w:rsid w:val="00860E38"/>
    <w:rsid w:val="008629AA"/>
    <w:rsid w:val="00881679"/>
    <w:rsid w:val="0088270C"/>
    <w:rsid w:val="00892D07"/>
    <w:rsid w:val="008D0BA0"/>
    <w:rsid w:val="008D3280"/>
    <w:rsid w:val="008F12F0"/>
    <w:rsid w:val="00916B30"/>
    <w:rsid w:val="0092626A"/>
    <w:rsid w:val="00954177"/>
    <w:rsid w:val="00960DD4"/>
    <w:rsid w:val="00985DE0"/>
    <w:rsid w:val="009C410F"/>
    <w:rsid w:val="009F1487"/>
    <w:rsid w:val="009F2E6D"/>
    <w:rsid w:val="009F301E"/>
    <w:rsid w:val="009F318D"/>
    <w:rsid w:val="00A00CE0"/>
    <w:rsid w:val="00A14D36"/>
    <w:rsid w:val="00A21B3B"/>
    <w:rsid w:val="00A241B4"/>
    <w:rsid w:val="00A250FA"/>
    <w:rsid w:val="00A259BA"/>
    <w:rsid w:val="00A42996"/>
    <w:rsid w:val="00A93CFB"/>
    <w:rsid w:val="00AA29C3"/>
    <w:rsid w:val="00AA34DB"/>
    <w:rsid w:val="00AA6AEF"/>
    <w:rsid w:val="00AB2411"/>
    <w:rsid w:val="00AB67F1"/>
    <w:rsid w:val="00AD4DD5"/>
    <w:rsid w:val="00AF6738"/>
    <w:rsid w:val="00B00BD6"/>
    <w:rsid w:val="00B512B3"/>
    <w:rsid w:val="00B55733"/>
    <w:rsid w:val="00B80589"/>
    <w:rsid w:val="00B87AB7"/>
    <w:rsid w:val="00BA3C2B"/>
    <w:rsid w:val="00BA7251"/>
    <w:rsid w:val="00BB3572"/>
    <w:rsid w:val="00BB4C1E"/>
    <w:rsid w:val="00BF4FF6"/>
    <w:rsid w:val="00C00E8B"/>
    <w:rsid w:val="00C61D97"/>
    <w:rsid w:val="00C817A3"/>
    <w:rsid w:val="00C968DB"/>
    <w:rsid w:val="00CA7723"/>
    <w:rsid w:val="00CC552B"/>
    <w:rsid w:val="00CD7A5A"/>
    <w:rsid w:val="00CE029E"/>
    <w:rsid w:val="00CF5370"/>
    <w:rsid w:val="00D02949"/>
    <w:rsid w:val="00D1189F"/>
    <w:rsid w:val="00D307EF"/>
    <w:rsid w:val="00D362CD"/>
    <w:rsid w:val="00D45958"/>
    <w:rsid w:val="00D4668D"/>
    <w:rsid w:val="00D62E2C"/>
    <w:rsid w:val="00D70643"/>
    <w:rsid w:val="00D95EE4"/>
    <w:rsid w:val="00DB5C27"/>
    <w:rsid w:val="00DC5F1D"/>
    <w:rsid w:val="00DE4C33"/>
    <w:rsid w:val="00E45C6A"/>
    <w:rsid w:val="00E56DC8"/>
    <w:rsid w:val="00E65BBA"/>
    <w:rsid w:val="00E741E7"/>
    <w:rsid w:val="00E77192"/>
    <w:rsid w:val="00E95BCA"/>
    <w:rsid w:val="00EA3769"/>
    <w:rsid w:val="00EB3AD0"/>
    <w:rsid w:val="00ED2DE1"/>
    <w:rsid w:val="00EF17AA"/>
    <w:rsid w:val="00F101CF"/>
    <w:rsid w:val="00F202B4"/>
    <w:rsid w:val="00F211EF"/>
    <w:rsid w:val="00F22B60"/>
    <w:rsid w:val="00F30A24"/>
    <w:rsid w:val="00FB7217"/>
    <w:rsid w:val="00FC6E69"/>
    <w:rsid w:val="00FD1BA4"/>
    <w:rsid w:val="00FD3E23"/>
    <w:rsid w:val="00FE67C6"/>
    <w:rsid w:val="00FF66E5"/>
    <w:rsid w:val="01000874"/>
    <w:rsid w:val="01121891"/>
    <w:rsid w:val="01166424"/>
    <w:rsid w:val="01211AD4"/>
    <w:rsid w:val="01277E1F"/>
    <w:rsid w:val="01346A45"/>
    <w:rsid w:val="015B4635"/>
    <w:rsid w:val="015D59FE"/>
    <w:rsid w:val="0160084E"/>
    <w:rsid w:val="016E2EFC"/>
    <w:rsid w:val="016F0A91"/>
    <w:rsid w:val="017A7A1C"/>
    <w:rsid w:val="01822573"/>
    <w:rsid w:val="01865784"/>
    <w:rsid w:val="01916216"/>
    <w:rsid w:val="019404F8"/>
    <w:rsid w:val="019462D8"/>
    <w:rsid w:val="019B0285"/>
    <w:rsid w:val="019B3634"/>
    <w:rsid w:val="019D022D"/>
    <w:rsid w:val="01B00EB9"/>
    <w:rsid w:val="01B605E6"/>
    <w:rsid w:val="01C01527"/>
    <w:rsid w:val="01C42B8B"/>
    <w:rsid w:val="01CC7EBE"/>
    <w:rsid w:val="01D450D4"/>
    <w:rsid w:val="01E46A56"/>
    <w:rsid w:val="01FD26C6"/>
    <w:rsid w:val="020C4532"/>
    <w:rsid w:val="020D728E"/>
    <w:rsid w:val="020E2058"/>
    <w:rsid w:val="02184C85"/>
    <w:rsid w:val="021A06DD"/>
    <w:rsid w:val="022430B4"/>
    <w:rsid w:val="0246777B"/>
    <w:rsid w:val="02474F99"/>
    <w:rsid w:val="02552EE4"/>
    <w:rsid w:val="02566477"/>
    <w:rsid w:val="025D7143"/>
    <w:rsid w:val="02611F28"/>
    <w:rsid w:val="02666B3D"/>
    <w:rsid w:val="027D71DE"/>
    <w:rsid w:val="027E314A"/>
    <w:rsid w:val="0291499D"/>
    <w:rsid w:val="02931AEB"/>
    <w:rsid w:val="029D68BB"/>
    <w:rsid w:val="02A429BD"/>
    <w:rsid w:val="02A7348D"/>
    <w:rsid w:val="02A92B78"/>
    <w:rsid w:val="02AC3912"/>
    <w:rsid w:val="02AE55E9"/>
    <w:rsid w:val="02BB18F0"/>
    <w:rsid w:val="02BC18C2"/>
    <w:rsid w:val="02CD5452"/>
    <w:rsid w:val="02DE267F"/>
    <w:rsid w:val="02EC2927"/>
    <w:rsid w:val="02EC5BF8"/>
    <w:rsid w:val="02ED2002"/>
    <w:rsid w:val="02F62A48"/>
    <w:rsid w:val="02F63DB9"/>
    <w:rsid w:val="02F95DEA"/>
    <w:rsid w:val="02FB3BCF"/>
    <w:rsid w:val="030549DF"/>
    <w:rsid w:val="03072104"/>
    <w:rsid w:val="03152F6F"/>
    <w:rsid w:val="0315389D"/>
    <w:rsid w:val="03161D82"/>
    <w:rsid w:val="032064E7"/>
    <w:rsid w:val="03326B84"/>
    <w:rsid w:val="033D6E0E"/>
    <w:rsid w:val="0341020B"/>
    <w:rsid w:val="0344050F"/>
    <w:rsid w:val="034D4B53"/>
    <w:rsid w:val="03537040"/>
    <w:rsid w:val="035D6ED3"/>
    <w:rsid w:val="035E581E"/>
    <w:rsid w:val="03622F14"/>
    <w:rsid w:val="036839EA"/>
    <w:rsid w:val="036E3F4D"/>
    <w:rsid w:val="038308C7"/>
    <w:rsid w:val="03836A76"/>
    <w:rsid w:val="0389410F"/>
    <w:rsid w:val="039C62AF"/>
    <w:rsid w:val="039D6C50"/>
    <w:rsid w:val="039E635A"/>
    <w:rsid w:val="03A62CE3"/>
    <w:rsid w:val="03AE76F5"/>
    <w:rsid w:val="03B7329F"/>
    <w:rsid w:val="03D24A6E"/>
    <w:rsid w:val="03D92E8E"/>
    <w:rsid w:val="03E06C1B"/>
    <w:rsid w:val="03E272F9"/>
    <w:rsid w:val="03E75782"/>
    <w:rsid w:val="03EA2C33"/>
    <w:rsid w:val="03EB6276"/>
    <w:rsid w:val="03F05C90"/>
    <w:rsid w:val="03FD26D9"/>
    <w:rsid w:val="04071690"/>
    <w:rsid w:val="041B0A5C"/>
    <w:rsid w:val="041D6CF2"/>
    <w:rsid w:val="04206073"/>
    <w:rsid w:val="04293179"/>
    <w:rsid w:val="04310280"/>
    <w:rsid w:val="04397D13"/>
    <w:rsid w:val="044107C7"/>
    <w:rsid w:val="04511082"/>
    <w:rsid w:val="045E521C"/>
    <w:rsid w:val="046306C3"/>
    <w:rsid w:val="046C750A"/>
    <w:rsid w:val="047D1717"/>
    <w:rsid w:val="048754C8"/>
    <w:rsid w:val="04954AC7"/>
    <w:rsid w:val="04956F3E"/>
    <w:rsid w:val="04A3117E"/>
    <w:rsid w:val="04B2162C"/>
    <w:rsid w:val="04C35BB6"/>
    <w:rsid w:val="04C4437D"/>
    <w:rsid w:val="04D92433"/>
    <w:rsid w:val="04DA4474"/>
    <w:rsid w:val="04DB25AA"/>
    <w:rsid w:val="04E10D91"/>
    <w:rsid w:val="04E15A4E"/>
    <w:rsid w:val="04E452F2"/>
    <w:rsid w:val="04FA2D68"/>
    <w:rsid w:val="05006EDF"/>
    <w:rsid w:val="05050FB1"/>
    <w:rsid w:val="05132E44"/>
    <w:rsid w:val="052C09C3"/>
    <w:rsid w:val="055516E1"/>
    <w:rsid w:val="05791A4E"/>
    <w:rsid w:val="057C6257"/>
    <w:rsid w:val="059C258D"/>
    <w:rsid w:val="05A7543E"/>
    <w:rsid w:val="05B24444"/>
    <w:rsid w:val="05B822E4"/>
    <w:rsid w:val="05C56A68"/>
    <w:rsid w:val="05C61DA3"/>
    <w:rsid w:val="05CF1FD2"/>
    <w:rsid w:val="05D0049A"/>
    <w:rsid w:val="05E03D0C"/>
    <w:rsid w:val="05E05ABA"/>
    <w:rsid w:val="05E355AA"/>
    <w:rsid w:val="05EA2DDC"/>
    <w:rsid w:val="05ED1633"/>
    <w:rsid w:val="05F206D9"/>
    <w:rsid w:val="05F23A3F"/>
    <w:rsid w:val="06007F0A"/>
    <w:rsid w:val="060317A8"/>
    <w:rsid w:val="06057E7B"/>
    <w:rsid w:val="06070706"/>
    <w:rsid w:val="061D6D0E"/>
    <w:rsid w:val="062E278B"/>
    <w:rsid w:val="06421E9F"/>
    <w:rsid w:val="06540256"/>
    <w:rsid w:val="065E21CA"/>
    <w:rsid w:val="066B3406"/>
    <w:rsid w:val="06891E6D"/>
    <w:rsid w:val="069114AA"/>
    <w:rsid w:val="06A25686"/>
    <w:rsid w:val="06B556DB"/>
    <w:rsid w:val="06BE1528"/>
    <w:rsid w:val="06C6403E"/>
    <w:rsid w:val="06C77C46"/>
    <w:rsid w:val="06C93A28"/>
    <w:rsid w:val="06D25D4A"/>
    <w:rsid w:val="06D300A7"/>
    <w:rsid w:val="06D34751"/>
    <w:rsid w:val="06E976A7"/>
    <w:rsid w:val="070251CA"/>
    <w:rsid w:val="070C28DE"/>
    <w:rsid w:val="07124399"/>
    <w:rsid w:val="071F6485"/>
    <w:rsid w:val="073936C0"/>
    <w:rsid w:val="07487DBA"/>
    <w:rsid w:val="07572252"/>
    <w:rsid w:val="075A17A4"/>
    <w:rsid w:val="075B6D39"/>
    <w:rsid w:val="075F53FC"/>
    <w:rsid w:val="07635C14"/>
    <w:rsid w:val="076B1221"/>
    <w:rsid w:val="077B03BE"/>
    <w:rsid w:val="078C0D1B"/>
    <w:rsid w:val="07990875"/>
    <w:rsid w:val="07A04665"/>
    <w:rsid w:val="07AB45BC"/>
    <w:rsid w:val="07AF75BD"/>
    <w:rsid w:val="07B440AB"/>
    <w:rsid w:val="07B731EA"/>
    <w:rsid w:val="07BE4913"/>
    <w:rsid w:val="07C27DD5"/>
    <w:rsid w:val="0805156D"/>
    <w:rsid w:val="08064DBA"/>
    <w:rsid w:val="08071497"/>
    <w:rsid w:val="08091191"/>
    <w:rsid w:val="08091A63"/>
    <w:rsid w:val="080C4C3C"/>
    <w:rsid w:val="08122EED"/>
    <w:rsid w:val="08123FAF"/>
    <w:rsid w:val="081E0FB6"/>
    <w:rsid w:val="082F2D28"/>
    <w:rsid w:val="08367CC1"/>
    <w:rsid w:val="08422300"/>
    <w:rsid w:val="084762C4"/>
    <w:rsid w:val="084A5FDC"/>
    <w:rsid w:val="085F360E"/>
    <w:rsid w:val="086C5357"/>
    <w:rsid w:val="087558B7"/>
    <w:rsid w:val="087A28D8"/>
    <w:rsid w:val="087C398E"/>
    <w:rsid w:val="08907A3C"/>
    <w:rsid w:val="08907C6B"/>
    <w:rsid w:val="08956D4C"/>
    <w:rsid w:val="08BA3A16"/>
    <w:rsid w:val="08BA6A96"/>
    <w:rsid w:val="08BD3FC8"/>
    <w:rsid w:val="08C35554"/>
    <w:rsid w:val="08C517FC"/>
    <w:rsid w:val="08C8765D"/>
    <w:rsid w:val="08CF3F43"/>
    <w:rsid w:val="08D17F7C"/>
    <w:rsid w:val="08DC0095"/>
    <w:rsid w:val="08EC1CB3"/>
    <w:rsid w:val="08EE4992"/>
    <w:rsid w:val="08F6566C"/>
    <w:rsid w:val="08FC6BAC"/>
    <w:rsid w:val="090409D9"/>
    <w:rsid w:val="09071695"/>
    <w:rsid w:val="09116625"/>
    <w:rsid w:val="09151F1E"/>
    <w:rsid w:val="091D6D44"/>
    <w:rsid w:val="09357A62"/>
    <w:rsid w:val="09580DAD"/>
    <w:rsid w:val="095D38E2"/>
    <w:rsid w:val="09630B7A"/>
    <w:rsid w:val="096F401D"/>
    <w:rsid w:val="09815EC8"/>
    <w:rsid w:val="09856B57"/>
    <w:rsid w:val="09B07E99"/>
    <w:rsid w:val="09BC05EC"/>
    <w:rsid w:val="09C661F0"/>
    <w:rsid w:val="09CA0F24"/>
    <w:rsid w:val="09D73678"/>
    <w:rsid w:val="09E37EB0"/>
    <w:rsid w:val="09EC7039"/>
    <w:rsid w:val="0A002B76"/>
    <w:rsid w:val="0A017BE4"/>
    <w:rsid w:val="0A035EDC"/>
    <w:rsid w:val="0A176F60"/>
    <w:rsid w:val="0A1C72DC"/>
    <w:rsid w:val="0A2207B4"/>
    <w:rsid w:val="0A267BB2"/>
    <w:rsid w:val="0A433171"/>
    <w:rsid w:val="0A5A0EF5"/>
    <w:rsid w:val="0A5A18A6"/>
    <w:rsid w:val="0A5A1957"/>
    <w:rsid w:val="0A641E54"/>
    <w:rsid w:val="0A677235"/>
    <w:rsid w:val="0A6F2477"/>
    <w:rsid w:val="0A760DF9"/>
    <w:rsid w:val="0A9320B8"/>
    <w:rsid w:val="0A973119"/>
    <w:rsid w:val="0A9926DB"/>
    <w:rsid w:val="0AAE0AEC"/>
    <w:rsid w:val="0ADA51CD"/>
    <w:rsid w:val="0AE05492"/>
    <w:rsid w:val="0AE97C4A"/>
    <w:rsid w:val="0B0052A5"/>
    <w:rsid w:val="0B0B6EA2"/>
    <w:rsid w:val="0B0D349D"/>
    <w:rsid w:val="0B0F2311"/>
    <w:rsid w:val="0B25100E"/>
    <w:rsid w:val="0B3525BA"/>
    <w:rsid w:val="0B3F3282"/>
    <w:rsid w:val="0B46544F"/>
    <w:rsid w:val="0B5059F2"/>
    <w:rsid w:val="0B602D4D"/>
    <w:rsid w:val="0B686BBB"/>
    <w:rsid w:val="0B6F59B6"/>
    <w:rsid w:val="0B763970"/>
    <w:rsid w:val="0B773AC9"/>
    <w:rsid w:val="0B7B3AE2"/>
    <w:rsid w:val="0B8B1841"/>
    <w:rsid w:val="0B8E7EE9"/>
    <w:rsid w:val="0BA15CEB"/>
    <w:rsid w:val="0BAA072F"/>
    <w:rsid w:val="0BBD7B2C"/>
    <w:rsid w:val="0BC438AF"/>
    <w:rsid w:val="0BE37935"/>
    <w:rsid w:val="0BE853EC"/>
    <w:rsid w:val="0BEB51B8"/>
    <w:rsid w:val="0BF2395B"/>
    <w:rsid w:val="0BF36C4C"/>
    <w:rsid w:val="0BFF2A12"/>
    <w:rsid w:val="0C01678A"/>
    <w:rsid w:val="0C062B01"/>
    <w:rsid w:val="0C292A88"/>
    <w:rsid w:val="0C2B119A"/>
    <w:rsid w:val="0C363BBB"/>
    <w:rsid w:val="0C3A66AE"/>
    <w:rsid w:val="0C450D6C"/>
    <w:rsid w:val="0C5B40EC"/>
    <w:rsid w:val="0C7A3476"/>
    <w:rsid w:val="0C842421"/>
    <w:rsid w:val="0C947820"/>
    <w:rsid w:val="0C9D1D02"/>
    <w:rsid w:val="0CA32EEA"/>
    <w:rsid w:val="0CA35A93"/>
    <w:rsid w:val="0CAB37AE"/>
    <w:rsid w:val="0CAD4DC2"/>
    <w:rsid w:val="0CB46680"/>
    <w:rsid w:val="0CBB1F71"/>
    <w:rsid w:val="0CCE485A"/>
    <w:rsid w:val="0CDB41DD"/>
    <w:rsid w:val="0CE7310B"/>
    <w:rsid w:val="0CF02CDD"/>
    <w:rsid w:val="0CFA211F"/>
    <w:rsid w:val="0D012060"/>
    <w:rsid w:val="0D0D3CDE"/>
    <w:rsid w:val="0D152CF6"/>
    <w:rsid w:val="0D1706A5"/>
    <w:rsid w:val="0D17456A"/>
    <w:rsid w:val="0D1A28DF"/>
    <w:rsid w:val="0D1C51E3"/>
    <w:rsid w:val="0D2B32E0"/>
    <w:rsid w:val="0D3B5CCB"/>
    <w:rsid w:val="0D41769B"/>
    <w:rsid w:val="0D465A55"/>
    <w:rsid w:val="0D54189E"/>
    <w:rsid w:val="0D58062B"/>
    <w:rsid w:val="0D666EBD"/>
    <w:rsid w:val="0D6C40D7"/>
    <w:rsid w:val="0D7A2C98"/>
    <w:rsid w:val="0D8F5F35"/>
    <w:rsid w:val="0D96694A"/>
    <w:rsid w:val="0D980D3B"/>
    <w:rsid w:val="0DAB18C0"/>
    <w:rsid w:val="0DAF6359"/>
    <w:rsid w:val="0DB17FF9"/>
    <w:rsid w:val="0DB3410A"/>
    <w:rsid w:val="0DB53D50"/>
    <w:rsid w:val="0DBC0BBA"/>
    <w:rsid w:val="0DC056BC"/>
    <w:rsid w:val="0DC9777B"/>
    <w:rsid w:val="0DE10B00"/>
    <w:rsid w:val="0DE63E89"/>
    <w:rsid w:val="0DEB55E0"/>
    <w:rsid w:val="0DF027B6"/>
    <w:rsid w:val="0DF44848"/>
    <w:rsid w:val="0DF523D0"/>
    <w:rsid w:val="0DFF65F5"/>
    <w:rsid w:val="0E025247"/>
    <w:rsid w:val="0E0445D0"/>
    <w:rsid w:val="0E1A2A28"/>
    <w:rsid w:val="0E1E1CE1"/>
    <w:rsid w:val="0E2549A1"/>
    <w:rsid w:val="0E26697C"/>
    <w:rsid w:val="0E285407"/>
    <w:rsid w:val="0E2D7025"/>
    <w:rsid w:val="0E337741"/>
    <w:rsid w:val="0E444114"/>
    <w:rsid w:val="0E4D16EC"/>
    <w:rsid w:val="0E525ADF"/>
    <w:rsid w:val="0E536488"/>
    <w:rsid w:val="0E681D5D"/>
    <w:rsid w:val="0E882175"/>
    <w:rsid w:val="0E8D1C79"/>
    <w:rsid w:val="0E960D70"/>
    <w:rsid w:val="0EA24254"/>
    <w:rsid w:val="0EC2319E"/>
    <w:rsid w:val="0EC56195"/>
    <w:rsid w:val="0EC97A84"/>
    <w:rsid w:val="0ECF3B84"/>
    <w:rsid w:val="0ED9579C"/>
    <w:rsid w:val="0EDD0EFA"/>
    <w:rsid w:val="0EE87AAA"/>
    <w:rsid w:val="0EEE0C5B"/>
    <w:rsid w:val="0EF7690F"/>
    <w:rsid w:val="0F043AA6"/>
    <w:rsid w:val="0F0D1285"/>
    <w:rsid w:val="0F312AB7"/>
    <w:rsid w:val="0F3C7DAF"/>
    <w:rsid w:val="0F420E24"/>
    <w:rsid w:val="0F4670CA"/>
    <w:rsid w:val="0F4671CD"/>
    <w:rsid w:val="0F5512C6"/>
    <w:rsid w:val="0F584B92"/>
    <w:rsid w:val="0F5F6E78"/>
    <w:rsid w:val="0F661726"/>
    <w:rsid w:val="0F6A6DD2"/>
    <w:rsid w:val="0F6C03BE"/>
    <w:rsid w:val="0F8670EC"/>
    <w:rsid w:val="0F953DB9"/>
    <w:rsid w:val="0F956327"/>
    <w:rsid w:val="0F9A068E"/>
    <w:rsid w:val="0FA15F22"/>
    <w:rsid w:val="0FA90AF7"/>
    <w:rsid w:val="0FB63A10"/>
    <w:rsid w:val="0FB735D5"/>
    <w:rsid w:val="0FB976B7"/>
    <w:rsid w:val="0FBE25DD"/>
    <w:rsid w:val="0FE14D60"/>
    <w:rsid w:val="0FE97C61"/>
    <w:rsid w:val="0FF21C07"/>
    <w:rsid w:val="0FF3445A"/>
    <w:rsid w:val="0FFB506B"/>
    <w:rsid w:val="10005D5C"/>
    <w:rsid w:val="10095D5E"/>
    <w:rsid w:val="101C335B"/>
    <w:rsid w:val="10263885"/>
    <w:rsid w:val="103053E7"/>
    <w:rsid w:val="104E219F"/>
    <w:rsid w:val="104F6A24"/>
    <w:rsid w:val="10540449"/>
    <w:rsid w:val="1066305F"/>
    <w:rsid w:val="106A3BAB"/>
    <w:rsid w:val="10750A53"/>
    <w:rsid w:val="10853E2D"/>
    <w:rsid w:val="109071AE"/>
    <w:rsid w:val="10991687"/>
    <w:rsid w:val="10A2678D"/>
    <w:rsid w:val="10B55BD2"/>
    <w:rsid w:val="10BF0E0C"/>
    <w:rsid w:val="10C76CC7"/>
    <w:rsid w:val="10CA38AC"/>
    <w:rsid w:val="10CE56DF"/>
    <w:rsid w:val="10D34B99"/>
    <w:rsid w:val="10DF76EB"/>
    <w:rsid w:val="10EC17B7"/>
    <w:rsid w:val="10EC21BF"/>
    <w:rsid w:val="10EE38CD"/>
    <w:rsid w:val="10FE70B5"/>
    <w:rsid w:val="11095AE2"/>
    <w:rsid w:val="11123F5B"/>
    <w:rsid w:val="1118109F"/>
    <w:rsid w:val="11197B53"/>
    <w:rsid w:val="111A7537"/>
    <w:rsid w:val="112447F2"/>
    <w:rsid w:val="11350A1B"/>
    <w:rsid w:val="1135709A"/>
    <w:rsid w:val="113E2B9E"/>
    <w:rsid w:val="11471472"/>
    <w:rsid w:val="11667C5C"/>
    <w:rsid w:val="117847D0"/>
    <w:rsid w:val="11923F5B"/>
    <w:rsid w:val="11924C7B"/>
    <w:rsid w:val="1194268F"/>
    <w:rsid w:val="11967974"/>
    <w:rsid w:val="119B5775"/>
    <w:rsid w:val="119F3AB9"/>
    <w:rsid w:val="11BF2232"/>
    <w:rsid w:val="11C664AC"/>
    <w:rsid w:val="11C81293"/>
    <w:rsid w:val="11D94666"/>
    <w:rsid w:val="11DA1F57"/>
    <w:rsid w:val="11DD7525"/>
    <w:rsid w:val="11E20B1B"/>
    <w:rsid w:val="11E9112C"/>
    <w:rsid w:val="11E960B5"/>
    <w:rsid w:val="11F12DFD"/>
    <w:rsid w:val="11F171D1"/>
    <w:rsid w:val="12007B07"/>
    <w:rsid w:val="12126BF1"/>
    <w:rsid w:val="12143080"/>
    <w:rsid w:val="121601CB"/>
    <w:rsid w:val="121D3C4E"/>
    <w:rsid w:val="122356AC"/>
    <w:rsid w:val="122A39E8"/>
    <w:rsid w:val="1230703F"/>
    <w:rsid w:val="123519A6"/>
    <w:rsid w:val="124A78F3"/>
    <w:rsid w:val="12505D75"/>
    <w:rsid w:val="125462CC"/>
    <w:rsid w:val="12563740"/>
    <w:rsid w:val="125B515F"/>
    <w:rsid w:val="125D0E86"/>
    <w:rsid w:val="125D2067"/>
    <w:rsid w:val="126453DB"/>
    <w:rsid w:val="126F4BD2"/>
    <w:rsid w:val="12771554"/>
    <w:rsid w:val="12865C3B"/>
    <w:rsid w:val="129A3460"/>
    <w:rsid w:val="12A460C1"/>
    <w:rsid w:val="12B52459"/>
    <w:rsid w:val="12B565C6"/>
    <w:rsid w:val="12B952A8"/>
    <w:rsid w:val="12C64289"/>
    <w:rsid w:val="12D93FBD"/>
    <w:rsid w:val="12E66CFD"/>
    <w:rsid w:val="12EC2D08"/>
    <w:rsid w:val="12F620EB"/>
    <w:rsid w:val="13014057"/>
    <w:rsid w:val="130715E6"/>
    <w:rsid w:val="130C63AF"/>
    <w:rsid w:val="130E4C12"/>
    <w:rsid w:val="1314565B"/>
    <w:rsid w:val="13180F89"/>
    <w:rsid w:val="133C43CF"/>
    <w:rsid w:val="13404631"/>
    <w:rsid w:val="13405DEA"/>
    <w:rsid w:val="13414540"/>
    <w:rsid w:val="135547B0"/>
    <w:rsid w:val="136262E7"/>
    <w:rsid w:val="136323A8"/>
    <w:rsid w:val="13776924"/>
    <w:rsid w:val="13813926"/>
    <w:rsid w:val="13842EBF"/>
    <w:rsid w:val="139A16DC"/>
    <w:rsid w:val="139D37F3"/>
    <w:rsid w:val="13B9043F"/>
    <w:rsid w:val="13C133CE"/>
    <w:rsid w:val="13C50F53"/>
    <w:rsid w:val="13C631E2"/>
    <w:rsid w:val="13CD46B1"/>
    <w:rsid w:val="13CF3913"/>
    <w:rsid w:val="13D313F8"/>
    <w:rsid w:val="13DF5603"/>
    <w:rsid w:val="13E354A9"/>
    <w:rsid w:val="13E9022F"/>
    <w:rsid w:val="13EC5CD8"/>
    <w:rsid w:val="141112E6"/>
    <w:rsid w:val="14172596"/>
    <w:rsid w:val="141B6D9E"/>
    <w:rsid w:val="142A67B4"/>
    <w:rsid w:val="142C44F0"/>
    <w:rsid w:val="14302626"/>
    <w:rsid w:val="143C6364"/>
    <w:rsid w:val="14424E6B"/>
    <w:rsid w:val="14434DCA"/>
    <w:rsid w:val="144A37AD"/>
    <w:rsid w:val="1455791F"/>
    <w:rsid w:val="147C7AB5"/>
    <w:rsid w:val="147E6D8B"/>
    <w:rsid w:val="148458D3"/>
    <w:rsid w:val="148C0B02"/>
    <w:rsid w:val="14A56CF8"/>
    <w:rsid w:val="14BA7EE0"/>
    <w:rsid w:val="14D82CC8"/>
    <w:rsid w:val="14E86337"/>
    <w:rsid w:val="14EA6607"/>
    <w:rsid w:val="14ED0E2A"/>
    <w:rsid w:val="14F22953"/>
    <w:rsid w:val="14FA21B0"/>
    <w:rsid w:val="14FE5449"/>
    <w:rsid w:val="15110AEC"/>
    <w:rsid w:val="1517025F"/>
    <w:rsid w:val="15197F2B"/>
    <w:rsid w:val="151A2D78"/>
    <w:rsid w:val="151B4D60"/>
    <w:rsid w:val="15232C77"/>
    <w:rsid w:val="1529151F"/>
    <w:rsid w:val="152B1EBE"/>
    <w:rsid w:val="152C7873"/>
    <w:rsid w:val="153149F1"/>
    <w:rsid w:val="15315072"/>
    <w:rsid w:val="153F759E"/>
    <w:rsid w:val="154A11A2"/>
    <w:rsid w:val="155142DE"/>
    <w:rsid w:val="155D1F73"/>
    <w:rsid w:val="156026D3"/>
    <w:rsid w:val="156404B5"/>
    <w:rsid w:val="157B0492"/>
    <w:rsid w:val="158B7F66"/>
    <w:rsid w:val="158D1BF3"/>
    <w:rsid w:val="158F3F03"/>
    <w:rsid w:val="158F7CD8"/>
    <w:rsid w:val="15932B49"/>
    <w:rsid w:val="15957360"/>
    <w:rsid w:val="159D4277"/>
    <w:rsid w:val="15A249BF"/>
    <w:rsid w:val="15A765F4"/>
    <w:rsid w:val="15AD54DA"/>
    <w:rsid w:val="15B91E83"/>
    <w:rsid w:val="15BE49B4"/>
    <w:rsid w:val="15C471A6"/>
    <w:rsid w:val="15CF352D"/>
    <w:rsid w:val="15DA1387"/>
    <w:rsid w:val="15E27125"/>
    <w:rsid w:val="15FD6214"/>
    <w:rsid w:val="15FF47E1"/>
    <w:rsid w:val="16021214"/>
    <w:rsid w:val="1609105D"/>
    <w:rsid w:val="16094541"/>
    <w:rsid w:val="160F2140"/>
    <w:rsid w:val="161A30CA"/>
    <w:rsid w:val="162A66C0"/>
    <w:rsid w:val="162B39C9"/>
    <w:rsid w:val="162E7866"/>
    <w:rsid w:val="163868AA"/>
    <w:rsid w:val="16441D83"/>
    <w:rsid w:val="16461BF9"/>
    <w:rsid w:val="166221AA"/>
    <w:rsid w:val="166A0F42"/>
    <w:rsid w:val="166A49A8"/>
    <w:rsid w:val="1678653A"/>
    <w:rsid w:val="16897527"/>
    <w:rsid w:val="168C441F"/>
    <w:rsid w:val="16923270"/>
    <w:rsid w:val="16A22F52"/>
    <w:rsid w:val="16B97BF9"/>
    <w:rsid w:val="16D90A24"/>
    <w:rsid w:val="16EF50A8"/>
    <w:rsid w:val="16FB1D76"/>
    <w:rsid w:val="16FC0EBA"/>
    <w:rsid w:val="16FE2244"/>
    <w:rsid w:val="17033C81"/>
    <w:rsid w:val="17081314"/>
    <w:rsid w:val="170A637E"/>
    <w:rsid w:val="171E6EFD"/>
    <w:rsid w:val="17336F1E"/>
    <w:rsid w:val="173D6F65"/>
    <w:rsid w:val="17411475"/>
    <w:rsid w:val="1745615B"/>
    <w:rsid w:val="176A5B2B"/>
    <w:rsid w:val="17742E80"/>
    <w:rsid w:val="177A5F10"/>
    <w:rsid w:val="177A6B0C"/>
    <w:rsid w:val="177B1AE6"/>
    <w:rsid w:val="177F0ACF"/>
    <w:rsid w:val="17815DD6"/>
    <w:rsid w:val="17837D38"/>
    <w:rsid w:val="178776E9"/>
    <w:rsid w:val="178A7AC1"/>
    <w:rsid w:val="17A97951"/>
    <w:rsid w:val="17BC3898"/>
    <w:rsid w:val="17BD5C5B"/>
    <w:rsid w:val="17C21165"/>
    <w:rsid w:val="17C26347"/>
    <w:rsid w:val="17CF1E32"/>
    <w:rsid w:val="17D44A11"/>
    <w:rsid w:val="17EE2E8F"/>
    <w:rsid w:val="17FB0FFD"/>
    <w:rsid w:val="1809747D"/>
    <w:rsid w:val="180D430D"/>
    <w:rsid w:val="181A12FF"/>
    <w:rsid w:val="18211C01"/>
    <w:rsid w:val="18232ABF"/>
    <w:rsid w:val="18246888"/>
    <w:rsid w:val="182757CA"/>
    <w:rsid w:val="182D6FD9"/>
    <w:rsid w:val="18304737"/>
    <w:rsid w:val="18332681"/>
    <w:rsid w:val="18342715"/>
    <w:rsid w:val="18426240"/>
    <w:rsid w:val="1844637C"/>
    <w:rsid w:val="1853177E"/>
    <w:rsid w:val="186D79ED"/>
    <w:rsid w:val="186E31CA"/>
    <w:rsid w:val="1871054E"/>
    <w:rsid w:val="188E659E"/>
    <w:rsid w:val="18B15671"/>
    <w:rsid w:val="18BF3C55"/>
    <w:rsid w:val="18C2495C"/>
    <w:rsid w:val="18CB43A7"/>
    <w:rsid w:val="18D413FC"/>
    <w:rsid w:val="18E436BB"/>
    <w:rsid w:val="18F90F15"/>
    <w:rsid w:val="18F96A73"/>
    <w:rsid w:val="190E557B"/>
    <w:rsid w:val="190E73F7"/>
    <w:rsid w:val="19153875"/>
    <w:rsid w:val="191824EE"/>
    <w:rsid w:val="1920065F"/>
    <w:rsid w:val="19236DCA"/>
    <w:rsid w:val="19262ED6"/>
    <w:rsid w:val="19265A82"/>
    <w:rsid w:val="19277601"/>
    <w:rsid w:val="19324427"/>
    <w:rsid w:val="193E1044"/>
    <w:rsid w:val="19401084"/>
    <w:rsid w:val="194752D1"/>
    <w:rsid w:val="19491E59"/>
    <w:rsid w:val="19641220"/>
    <w:rsid w:val="196B2458"/>
    <w:rsid w:val="196D3EC7"/>
    <w:rsid w:val="198B3FD1"/>
    <w:rsid w:val="199A5971"/>
    <w:rsid w:val="199E7D0E"/>
    <w:rsid w:val="19C07C84"/>
    <w:rsid w:val="19CD2747"/>
    <w:rsid w:val="19DB72E6"/>
    <w:rsid w:val="19E74BB9"/>
    <w:rsid w:val="1A01041D"/>
    <w:rsid w:val="1A084D34"/>
    <w:rsid w:val="1A1B69D9"/>
    <w:rsid w:val="1A245E35"/>
    <w:rsid w:val="1A253F8B"/>
    <w:rsid w:val="1A2A749B"/>
    <w:rsid w:val="1A4019F0"/>
    <w:rsid w:val="1A40229B"/>
    <w:rsid w:val="1A502B41"/>
    <w:rsid w:val="1A554CB3"/>
    <w:rsid w:val="1A7F369B"/>
    <w:rsid w:val="1A820FD7"/>
    <w:rsid w:val="1A8567D8"/>
    <w:rsid w:val="1A881D9D"/>
    <w:rsid w:val="1A8962C8"/>
    <w:rsid w:val="1A943933"/>
    <w:rsid w:val="1A9D1D74"/>
    <w:rsid w:val="1AA522CE"/>
    <w:rsid w:val="1AA569F6"/>
    <w:rsid w:val="1ABD2DF2"/>
    <w:rsid w:val="1ADB4830"/>
    <w:rsid w:val="1AE35FDC"/>
    <w:rsid w:val="1AE634AD"/>
    <w:rsid w:val="1AE66DB8"/>
    <w:rsid w:val="1AE9605D"/>
    <w:rsid w:val="1AF00F48"/>
    <w:rsid w:val="1B171B26"/>
    <w:rsid w:val="1B235571"/>
    <w:rsid w:val="1B245FF1"/>
    <w:rsid w:val="1B2F1E3B"/>
    <w:rsid w:val="1B3268EC"/>
    <w:rsid w:val="1B535CE1"/>
    <w:rsid w:val="1B5A1A13"/>
    <w:rsid w:val="1B701236"/>
    <w:rsid w:val="1B746F78"/>
    <w:rsid w:val="1B7C4F81"/>
    <w:rsid w:val="1B9E3FF5"/>
    <w:rsid w:val="1B9F6F8D"/>
    <w:rsid w:val="1BA01B1B"/>
    <w:rsid w:val="1BA9744F"/>
    <w:rsid w:val="1BB23141"/>
    <w:rsid w:val="1BE806B2"/>
    <w:rsid w:val="1C0333A5"/>
    <w:rsid w:val="1C0850F8"/>
    <w:rsid w:val="1C1E6826"/>
    <w:rsid w:val="1C295ECB"/>
    <w:rsid w:val="1C3D531C"/>
    <w:rsid w:val="1C404874"/>
    <w:rsid w:val="1C553BD3"/>
    <w:rsid w:val="1C655492"/>
    <w:rsid w:val="1C7A5BA8"/>
    <w:rsid w:val="1C8410F7"/>
    <w:rsid w:val="1C8E7BC6"/>
    <w:rsid w:val="1C987B51"/>
    <w:rsid w:val="1C9A2A0F"/>
    <w:rsid w:val="1CAA3DFB"/>
    <w:rsid w:val="1CAF34CB"/>
    <w:rsid w:val="1CB04003"/>
    <w:rsid w:val="1CB82E95"/>
    <w:rsid w:val="1CBA6C0D"/>
    <w:rsid w:val="1CC9538F"/>
    <w:rsid w:val="1CD35F20"/>
    <w:rsid w:val="1CDE733E"/>
    <w:rsid w:val="1CE0443D"/>
    <w:rsid w:val="1CEB6696"/>
    <w:rsid w:val="1CEC79F6"/>
    <w:rsid w:val="1CF10C4A"/>
    <w:rsid w:val="1CF87735"/>
    <w:rsid w:val="1D022869"/>
    <w:rsid w:val="1D037CF9"/>
    <w:rsid w:val="1D151E3B"/>
    <w:rsid w:val="1D1E53EE"/>
    <w:rsid w:val="1D29265C"/>
    <w:rsid w:val="1D296092"/>
    <w:rsid w:val="1D2D0263"/>
    <w:rsid w:val="1D367047"/>
    <w:rsid w:val="1D3B045C"/>
    <w:rsid w:val="1D411B61"/>
    <w:rsid w:val="1D4A2C21"/>
    <w:rsid w:val="1D4C1FAE"/>
    <w:rsid w:val="1D5C2161"/>
    <w:rsid w:val="1D645B6D"/>
    <w:rsid w:val="1D672CB4"/>
    <w:rsid w:val="1D6A233A"/>
    <w:rsid w:val="1D6C0388"/>
    <w:rsid w:val="1D74500E"/>
    <w:rsid w:val="1D762F10"/>
    <w:rsid w:val="1D851BF0"/>
    <w:rsid w:val="1D8E6A35"/>
    <w:rsid w:val="1D9F7183"/>
    <w:rsid w:val="1DB63878"/>
    <w:rsid w:val="1DC924E2"/>
    <w:rsid w:val="1DF955F5"/>
    <w:rsid w:val="1DFC21F6"/>
    <w:rsid w:val="1DFC2844"/>
    <w:rsid w:val="1E136360"/>
    <w:rsid w:val="1E1D6739"/>
    <w:rsid w:val="1E3B1FCF"/>
    <w:rsid w:val="1E417387"/>
    <w:rsid w:val="1E576896"/>
    <w:rsid w:val="1E580570"/>
    <w:rsid w:val="1E6E1C13"/>
    <w:rsid w:val="1E822E5E"/>
    <w:rsid w:val="1E840B01"/>
    <w:rsid w:val="1E8718D1"/>
    <w:rsid w:val="1E90712D"/>
    <w:rsid w:val="1E9D2460"/>
    <w:rsid w:val="1ECF4774"/>
    <w:rsid w:val="1ED15256"/>
    <w:rsid w:val="1ED41ADC"/>
    <w:rsid w:val="1EDA17E8"/>
    <w:rsid w:val="1EEE6DD7"/>
    <w:rsid w:val="1EFC297D"/>
    <w:rsid w:val="1F0754A3"/>
    <w:rsid w:val="1F175729"/>
    <w:rsid w:val="1F185E6D"/>
    <w:rsid w:val="1F264A2D"/>
    <w:rsid w:val="1F4179FC"/>
    <w:rsid w:val="1F485595"/>
    <w:rsid w:val="1F496324"/>
    <w:rsid w:val="1F501751"/>
    <w:rsid w:val="1F617E33"/>
    <w:rsid w:val="1F6427ED"/>
    <w:rsid w:val="1F663537"/>
    <w:rsid w:val="1F754248"/>
    <w:rsid w:val="1F8654CC"/>
    <w:rsid w:val="1F8D1B58"/>
    <w:rsid w:val="1F9426BD"/>
    <w:rsid w:val="1F9F033C"/>
    <w:rsid w:val="1FA13487"/>
    <w:rsid w:val="1FA140B4"/>
    <w:rsid w:val="1FA85ED9"/>
    <w:rsid w:val="1FA871F0"/>
    <w:rsid w:val="1FBA5176"/>
    <w:rsid w:val="1FC3402A"/>
    <w:rsid w:val="1FC715D5"/>
    <w:rsid w:val="1FD3678F"/>
    <w:rsid w:val="1FD42B2E"/>
    <w:rsid w:val="1FE81839"/>
    <w:rsid w:val="1FFC5F22"/>
    <w:rsid w:val="1FFC653F"/>
    <w:rsid w:val="20031B14"/>
    <w:rsid w:val="20084410"/>
    <w:rsid w:val="200E04A1"/>
    <w:rsid w:val="200F5D92"/>
    <w:rsid w:val="202D5802"/>
    <w:rsid w:val="203279E1"/>
    <w:rsid w:val="2039253E"/>
    <w:rsid w:val="20472486"/>
    <w:rsid w:val="205B1D1D"/>
    <w:rsid w:val="205E2895"/>
    <w:rsid w:val="205F6728"/>
    <w:rsid w:val="20743577"/>
    <w:rsid w:val="20757214"/>
    <w:rsid w:val="207B4905"/>
    <w:rsid w:val="207E365F"/>
    <w:rsid w:val="20826029"/>
    <w:rsid w:val="20924ED8"/>
    <w:rsid w:val="209A06D6"/>
    <w:rsid w:val="20A121BF"/>
    <w:rsid w:val="20A1788C"/>
    <w:rsid w:val="20A45C89"/>
    <w:rsid w:val="20AA63F0"/>
    <w:rsid w:val="20BD31A0"/>
    <w:rsid w:val="20C62E2D"/>
    <w:rsid w:val="20C922C2"/>
    <w:rsid w:val="20CA5D3E"/>
    <w:rsid w:val="20D00817"/>
    <w:rsid w:val="20D31122"/>
    <w:rsid w:val="20D539DB"/>
    <w:rsid w:val="20D627DC"/>
    <w:rsid w:val="20E91D02"/>
    <w:rsid w:val="20E96E9D"/>
    <w:rsid w:val="20F950AE"/>
    <w:rsid w:val="21307981"/>
    <w:rsid w:val="213351E0"/>
    <w:rsid w:val="213B5E42"/>
    <w:rsid w:val="213C0896"/>
    <w:rsid w:val="214E22ED"/>
    <w:rsid w:val="215772E3"/>
    <w:rsid w:val="216276A5"/>
    <w:rsid w:val="216345D6"/>
    <w:rsid w:val="21634AB1"/>
    <w:rsid w:val="21680888"/>
    <w:rsid w:val="216C24A0"/>
    <w:rsid w:val="21703D3E"/>
    <w:rsid w:val="217B6C7E"/>
    <w:rsid w:val="217E59FC"/>
    <w:rsid w:val="21821CC3"/>
    <w:rsid w:val="219511AF"/>
    <w:rsid w:val="219F6399"/>
    <w:rsid w:val="21A83E1F"/>
    <w:rsid w:val="21B56736"/>
    <w:rsid w:val="21BA42D0"/>
    <w:rsid w:val="21D505A5"/>
    <w:rsid w:val="21D70260"/>
    <w:rsid w:val="21D97E82"/>
    <w:rsid w:val="21E40288"/>
    <w:rsid w:val="21E67CDD"/>
    <w:rsid w:val="21EF1F2E"/>
    <w:rsid w:val="21FC7CC7"/>
    <w:rsid w:val="2221512B"/>
    <w:rsid w:val="2228581B"/>
    <w:rsid w:val="223F2454"/>
    <w:rsid w:val="224440CB"/>
    <w:rsid w:val="225C7048"/>
    <w:rsid w:val="22674D73"/>
    <w:rsid w:val="226A2D71"/>
    <w:rsid w:val="22726AD4"/>
    <w:rsid w:val="22A7543E"/>
    <w:rsid w:val="22AB6D9E"/>
    <w:rsid w:val="22AE0D4E"/>
    <w:rsid w:val="22BC0310"/>
    <w:rsid w:val="22BD2FB3"/>
    <w:rsid w:val="22C52EB2"/>
    <w:rsid w:val="22C73E32"/>
    <w:rsid w:val="22CE2BC3"/>
    <w:rsid w:val="22D41FAD"/>
    <w:rsid w:val="22E378EC"/>
    <w:rsid w:val="22E744D4"/>
    <w:rsid w:val="22F117FE"/>
    <w:rsid w:val="230C3BCC"/>
    <w:rsid w:val="230E17C3"/>
    <w:rsid w:val="2312327F"/>
    <w:rsid w:val="23130E25"/>
    <w:rsid w:val="231828DF"/>
    <w:rsid w:val="23225072"/>
    <w:rsid w:val="232E622C"/>
    <w:rsid w:val="232F786B"/>
    <w:rsid w:val="233C481F"/>
    <w:rsid w:val="23411962"/>
    <w:rsid w:val="23816BBE"/>
    <w:rsid w:val="23822935"/>
    <w:rsid w:val="238241FC"/>
    <w:rsid w:val="23830BEC"/>
    <w:rsid w:val="23961B98"/>
    <w:rsid w:val="23A50ECF"/>
    <w:rsid w:val="23AD0CD3"/>
    <w:rsid w:val="23B14FE2"/>
    <w:rsid w:val="23B5045C"/>
    <w:rsid w:val="23B75028"/>
    <w:rsid w:val="23BA261E"/>
    <w:rsid w:val="23BC6153"/>
    <w:rsid w:val="23CB6EB8"/>
    <w:rsid w:val="23DC6C01"/>
    <w:rsid w:val="23E62FBE"/>
    <w:rsid w:val="23ED2D4F"/>
    <w:rsid w:val="240864B0"/>
    <w:rsid w:val="240D6CD1"/>
    <w:rsid w:val="240F2CD7"/>
    <w:rsid w:val="24134AFF"/>
    <w:rsid w:val="2415200F"/>
    <w:rsid w:val="24171770"/>
    <w:rsid w:val="241B7069"/>
    <w:rsid w:val="241F0E66"/>
    <w:rsid w:val="242E3EA2"/>
    <w:rsid w:val="242F127F"/>
    <w:rsid w:val="242F6132"/>
    <w:rsid w:val="243A6885"/>
    <w:rsid w:val="243F1986"/>
    <w:rsid w:val="244E349E"/>
    <w:rsid w:val="24525DDE"/>
    <w:rsid w:val="246127B3"/>
    <w:rsid w:val="247E1439"/>
    <w:rsid w:val="24894712"/>
    <w:rsid w:val="249661B1"/>
    <w:rsid w:val="24997A50"/>
    <w:rsid w:val="24B01DDD"/>
    <w:rsid w:val="24BA7F7C"/>
    <w:rsid w:val="24D417F6"/>
    <w:rsid w:val="24D960DB"/>
    <w:rsid w:val="24DE098C"/>
    <w:rsid w:val="24E142CB"/>
    <w:rsid w:val="24EC08E0"/>
    <w:rsid w:val="24F5112A"/>
    <w:rsid w:val="24F95DC0"/>
    <w:rsid w:val="25076767"/>
    <w:rsid w:val="2513695A"/>
    <w:rsid w:val="251B66B7"/>
    <w:rsid w:val="252A0580"/>
    <w:rsid w:val="25317C88"/>
    <w:rsid w:val="253F4153"/>
    <w:rsid w:val="25516886"/>
    <w:rsid w:val="25535E50"/>
    <w:rsid w:val="25606BBB"/>
    <w:rsid w:val="2563757E"/>
    <w:rsid w:val="256B4DBF"/>
    <w:rsid w:val="25761B3F"/>
    <w:rsid w:val="25A96B70"/>
    <w:rsid w:val="25B349D3"/>
    <w:rsid w:val="25B60185"/>
    <w:rsid w:val="25EE7927"/>
    <w:rsid w:val="25F4324C"/>
    <w:rsid w:val="26000C2B"/>
    <w:rsid w:val="26003CFA"/>
    <w:rsid w:val="260E57EE"/>
    <w:rsid w:val="261264E0"/>
    <w:rsid w:val="26153106"/>
    <w:rsid w:val="261568A3"/>
    <w:rsid w:val="26163F51"/>
    <w:rsid w:val="261E52E3"/>
    <w:rsid w:val="263537A8"/>
    <w:rsid w:val="263A74A2"/>
    <w:rsid w:val="263B0436"/>
    <w:rsid w:val="263B7A7A"/>
    <w:rsid w:val="263C086C"/>
    <w:rsid w:val="26445B5A"/>
    <w:rsid w:val="266837F7"/>
    <w:rsid w:val="266F29E5"/>
    <w:rsid w:val="26744D23"/>
    <w:rsid w:val="2684229F"/>
    <w:rsid w:val="26844E74"/>
    <w:rsid w:val="26847FEB"/>
    <w:rsid w:val="2685558D"/>
    <w:rsid w:val="26885B47"/>
    <w:rsid w:val="2690168E"/>
    <w:rsid w:val="26A056CC"/>
    <w:rsid w:val="26A27021"/>
    <w:rsid w:val="26B04563"/>
    <w:rsid w:val="26C23FEA"/>
    <w:rsid w:val="26CC19EC"/>
    <w:rsid w:val="26E15011"/>
    <w:rsid w:val="26F15921"/>
    <w:rsid w:val="26FD74B1"/>
    <w:rsid w:val="270176C3"/>
    <w:rsid w:val="2707406D"/>
    <w:rsid w:val="27191B6E"/>
    <w:rsid w:val="27242EF7"/>
    <w:rsid w:val="275B2ECD"/>
    <w:rsid w:val="275F6D2E"/>
    <w:rsid w:val="276A4A1B"/>
    <w:rsid w:val="276A7481"/>
    <w:rsid w:val="278301EA"/>
    <w:rsid w:val="27840543"/>
    <w:rsid w:val="279A0E7D"/>
    <w:rsid w:val="27AB0DA6"/>
    <w:rsid w:val="27B32F47"/>
    <w:rsid w:val="27B4119A"/>
    <w:rsid w:val="27BB2F34"/>
    <w:rsid w:val="27C471A2"/>
    <w:rsid w:val="27CD45A2"/>
    <w:rsid w:val="27DD7B52"/>
    <w:rsid w:val="27F84A8D"/>
    <w:rsid w:val="280224A3"/>
    <w:rsid w:val="28055ADC"/>
    <w:rsid w:val="28081242"/>
    <w:rsid w:val="28085051"/>
    <w:rsid w:val="28092891"/>
    <w:rsid w:val="280B223D"/>
    <w:rsid w:val="28101DD7"/>
    <w:rsid w:val="2818512F"/>
    <w:rsid w:val="281C3F0A"/>
    <w:rsid w:val="283E6AA2"/>
    <w:rsid w:val="284C7177"/>
    <w:rsid w:val="28520641"/>
    <w:rsid w:val="286C1540"/>
    <w:rsid w:val="287A0322"/>
    <w:rsid w:val="2884430A"/>
    <w:rsid w:val="289420CE"/>
    <w:rsid w:val="28A644E9"/>
    <w:rsid w:val="28AB4ADD"/>
    <w:rsid w:val="28AF7842"/>
    <w:rsid w:val="28B210E0"/>
    <w:rsid w:val="28BE5377"/>
    <w:rsid w:val="28CA01D8"/>
    <w:rsid w:val="28CC7870"/>
    <w:rsid w:val="28D25CDC"/>
    <w:rsid w:val="28E12BB2"/>
    <w:rsid w:val="28E64D72"/>
    <w:rsid w:val="28F25980"/>
    <w:rsid w:val="28F549CF"/>
    <w:rsid w:val="29181DA8"/>
    <w:rsid w:val="29211FE0"/>
    <w:rsid w:val="29332221"/>
    <w:rsid w:val="294B5D61"/>
    <w:rsid w:val="294C4C62"/>
    <w:rsid w:val="294D724D"/>
    <w:rsid w:val="294E15CD"/>
    <w:rsid w:val="296A5560"/>
    <w:rsid w:val="297257EB"/>
    <w:rsid w:val="297D75A0"/>
    <w:rsid w:val="298341A6"/>
    <w:rsid w:val="299273AB"/>
    <w:rsid w:val="299923DC"/>
    <w:rsid w:val="299B1B74"/>
    <w:rsid w:val="299F0057"/>
    <w:rsid w:val="29A34629"/>
    <w:rsid w:val="29AD735E"/>
    <w:rsid w:val="29B64C00"/>
    <w:rsid w:val="29D27C02"/>
    <w:rsid w:val="29DF5F05"/>
    <w:rsid w:val="29DF6D2B"/>
    <w:rsid w:val="29E057D9"/>
    <w:rsid w:val="29E848CD"/>
    <w:rsid w:val="29E90B31"/>
    <w:rsid w:val="29EB0D40"/>
    <w:rsid w:val="29FF0355"/>
    <w:rsid w:val="29FF45A0"/>
    <w:rsid w:val="2A023143"/>
    <w:rsid w:val="2A030D41"/>
    <w:rsid w:val="2A03250B"/>
    <w:rsid w:val="2A157B78"/>
    <w:rsid w:val="2A165248"/>
    <w:rsid w:val="2A1B3C24"/>
    <w:rsid w:val="2A24600D"/>
    <w:rsid w:val="2A4A6B02"/>
    <w:rsid w:val="2A4E6BE6"/>
    <w:rsid w:val="2A665D56"/>
    <w:rsid w:val="2A6C56A4"/>
    <w:rsid w:val="2A926811"/>
    <w:rsid w:val="2A964695"/>
    <w:rsid w:val="2A9B409C"/>
    <w:rsid w:val="2AA35184"/>
    <w:rsid w:val="2AA63DE5"/>
    <w:rsid w:val="2AB0164F"/>
    <w:rsid w:val="2AB47879"/>
    <w:rsid w:val="2AC76892"/>
    <w:rsid w:val="2AD7063C"/>
    <w:rsid w:val="2AD7078E"/>
    <w:rsid w:val="2AD93BEA"/>
    <w:rsid w:val="2AE11B75"/>
    <w:rsid w:val="2AE15CAC"/>
    <w:rsid w:val="2AE2070E"/>
    <w:rsid w:val="2AF163C6"/>
    <w:rsid w:val="2AF35A67"/>
    <w:rsid w:val="2AF87DD8"/>
    <w:rsid w:val="2B062060"/>
    <w:rsid w:val="2B121E9A"/>
    <w:rsid w:val="2B185222"/>
    <w:rsid w:val="2B2F4C6A"/>
    <w:rsid w:val="2B305EFF"/>
    <w:rsid w:val="2B3E6C5B"/>
    <w:rsid w:val="2B400C25"/>
    <w:rsid w:val="2B4E5961"/>
    <w:rsid w:val="2B4F567C"/>
    <w:rsid w:val="2B7D7F7E"/>
    <w:rsid w:val="2B830BEE"/>
    <w:rsid w:val="2B895DBE"/>
    <w:rsid w:val="2B8F532C"/>
    <w:rsid w:val="2B906DE0"/>
    <w:rsid w:val="2B986339"/>
    <w:rsid w:val="2B9A63F4"/>
    <w:rsid w:val="2BAC385A"/>
    <w:rsid w:val="2BD63337"/>
    <w:rsid w:val="2BD82C0B"/>
    <w:rsid w:val="2BE11555"/>
    <w:rsid w:val="2BEA550D"/>
    <w:rsid w:val="2BFA7026"/>
    <w:rsid w:val="2BFF7683"/>
    <w:rsid w:val="2C184CC9"/>
    <w:rsid w:val="2C263E87"/>
    <w:rsid w:val="2C337F41"/>
    <w:rsid w:val="2C35005E"/>
    <w:rsid w:val="2C4209CD"/>
    <w:rsid w:val="2C4F48FD"/>
    <w:rsid w:val="2C534A84"/>
    <w:rsid w:val="2C5E0F39"/>
    <w:rsid w:val="2C5E44B7"/>
    <w:rsid w:val="2C5F71B1"/>
    <w:rsid w:val="2C714E0E"/>
    <w:rsid w:val="2C7963E8"/>
    <w:rsid w:val="2C7A6B34"/>
    <w:rsid w:val="2C8114F5"/>
    <w:rsid w:val="2C8738DC"/>
    <w:rsid w:val="2C8E362F"/>
    <w:rsid w:val="2C982AFA"/>
    <w:rsid w:val="2CA22487"/>
    <w:rsid w:val="2CB27613"/>
    <w:rsid w:val="2CB90C8F"/>
    <w:rsid w:val="2CC47634"/>
    <w:rsid w:val="2CD205C2"/>
    <w:rsid w:val="2CD5168A"/>
    <w:rsid w:val="2CD75937"/>
    <w:rsid w:val="2CEA709A"/>
    <w:rsid w:val="2CF342D4"/>
    <w:rsid w:val="2CFA2CED"/>
    <w:rsid w:val="2D001430"/>
    <w:rsid w:val="2D0668E8"/>
    <w:rsid w:val="2D0E3367"/>
    <w:rsid w:val="2D12039F"/>
    <w:rsid w:val="2D145EC5"/>
    <w:rsid w:val="2D18007B"/>
    <w:rsid w:val="2D1F4DC8"/>
    <w:rsid w:val="2D304904"/>
    <w:rsid w:val="2D38504E"/>
    <w:rsid w:val="2D471CE5"/>
    <w:rsid w:val="2D4A1A94"/>
    <w:rsid w:val="2D50000B"/>
    <w:rsid w:val="2D5E4FBE"/>
    <w:rsid w:val="2D7031FA"/>
    <w:rsid w:val="2D766E70"/>
    <w:rsid w:val="2D78191A"/>
    <w:rsid w:val="2D835894"/>
    <w:rsid w:val="2D85710D"/>
    <w:rsid w:val="2D897E6D"/>
    <w:rsid w:val="2D9802B4"/>
    <w:rsid w:val="2D987DF6"/>
    <w:rsid w:val="2D9A0AA6"/>
    <w:rsid w:val="2DA43BAE"/>
    <w:rsid w:val="2DB475DF"/>
    <w:rsid w:val="2DB81A56"/>
    <w:rsid w:val="2DBE68CC"/>
    <w:rsid w:val="2DBF448B"/>
    <w:rsid w:val="2DC11BDB"/>
    <w:rsid w:val="2DD406A7"/>
    <w:rsid w:val="2DDB2D72"/>
    <w:rsid w:val="2DDF2977"/>
    <w:rsid w:val="2DF33D2D"/>
    <w:rsid w:val="2DF80288"/>
    <w:rsid w:val="2DF81343"/>
    <w:rsid w:val="2DFFA945"/>
    <w:rsid w:val="2E00644A"/>
    <w:rsid w:val="2E01027F"/>
    <w:rsid w:val="2E05146C"/>
    <w:rsid w:val="2E1C4B22"/>
    <w:rsid w:val="2E2741BA"/>
    <w:rsid w:val="2E2B6160"/>
    <w:rsid w:val="2E3420E7"/>
    <w:rsid w:val="2E365113"/>
    <w:rsid w:val="2E3879E1"/>
    <w:rsid w:val="2E3A1A0B"/>
    <w:rsid w:val="2E3A58E1"/>
    <w:rsid w:val="2E444588"/>
    <w:rsid w:val="2E4A2A3C"/>
    <w:rsid w:val="2E513149"/>
    <w:rsid w:val="2E5154FD"/>
    <w:rsid w:val="2E690493"/>
    <w:rsid w:val="2E692241"/>
    <w:rsid w:val="2E693FEF"/>
    <w:rsid w:val="2E75050B"/>
    <w:rsid w:val="2E8E35A8"/>
    <w:rsid w:val="2EB15996"/>
    <w:rsid w:val="2EB24329"/>
    <w:rsid w:val="2EB37960"/>
    <w:rsid w:val="2ECB44DA"/>
    <w:rsid w:val="2ECE479A"/>
    <w:rsid w:val="2ED60234"/>
    <w:rsid w:val="2EDC352E"/>
    <w:rsid w:val="2EE73260"/>
    <w:rsid w:val="2EE83825"/>
    <w:rsid w:val="2EEF4B91"/>
    <w:rsid w:val="2EF2202F"/>
    <w:rsid w:val="2F053FC2"/>
    <w:rsid w:val="2F124686"/>
    <w:rsid w:val="2F156C98"/>
    <w:rsid w:val="2F2D6B6B"/>
    <w:rsid w:val="2F2F17B3"/>
    <w:rsid w:val="2F3115CC"/>
    <w:rsid w:val="2F3426DA"/>
    <w:rsid w:val="2F4F31A1"/>
    <w:rsid w:val="2F5E78CC"/>
    <w:rsid w:val="2F679E34"/>
    <w:rsid w:val="2F923903"/>
    <w:rsid w:val="2F953BA2"/>
    <w:rsid w:val="2F9704F5"/>
    <w:rsid w:val="2F9C0128"/>
    <w:rsid w:val="2FAA217C"/>
    <w:rsid w:val="2FB11493"/>
    <w:rsid w:val="2FBA3766"/>
    <w:rsid w:val="2FC156B3"/>
    <w:rsid w:val="2FCE0386"/>
    <w:rsid w:val="2FCF3C2C"/>
    <w:rsid w:val="2FD9964F"/>
    <w:rsid w:val="2FDC582D"/>
    <w:rsid w:val="2FF24FDC"/>
    <w:rsid w:val="2FF25D24"/>
    <w:rsid w:val="2FFF10AF"/>
    <w:rsid w:val="30071D11"/>
    <w:rsid w:val="300922A1"/>
    <w:rsid w:val="300F7240"/>
    <w:rsid w:val="30100390"/>
    <w:rsid w:val="30126165"/>
    <w:rsid w:val="30210308"/>
    <w:rsid w:val="302169BE"/>
    <w:rsid w:val="30246A80"/>
    <w:rsid w:val="30286974"/>
    <w:rsid w:val="30316D8E"/>
    <w:rsid w:val="303D01C3"/>
    <w:rsid w:val="3040652C"/>
    <w:rsid w:val="30443BE6"/>
    <w:rsid w:val="30515682"/>
    <w:rsid w:val="3053210D"/>
    <w:rsid w:val="305B205D"/>
    <w:rsid w:val="30657FCA"/>
    <w:rsid w:val="306C3287"/>
    <w:rsid w:val="307815FB"/>
    <w:rsid w:val="307A24E3"/>
    <w:rsid w:val="307F1779"/>
    <w:rsid w:val="308415B4"/>
    <w:rsid w:val="308418AE"/>
    <w:rsid w:val="30845AD0"/>
    <w:rsid w:val="308E4926"/>
    <w:rsid w:val="309537C1"/>
    <w:rsid w:val="309D61D2"/>
    <w:rsid w:val="30AD6A75"/>
    <w:rsid w:val="30AE39C7"/>
    <w:rsid w:val="30B005FB"/>
    <w:rsid w:val="30BA0C8E"/>
    <w:rsid w:val="30BA481A"/>
    <w:rsid w:val="30C553F9"/>
    <w:rsid w:val="30C73D65"/>
    <w:rsid w:val="30CE15DC"/>
    <w:rsid w:val="30E324D8"/>
    <w:rsid w:val="30EA142D"/>
    <w:rsid w:val="30EF7855"/>
    <w:rsid w:val="30F00DDE"/>
    <w:rsid w:val="30F17974"/>
    <w:rsid w:val="310107CD"/>
    <w:rsid w:val="3107300C"/>
    <w:rsid w:val="311F0D7B"/>
    <w:rsid w:val="31215291"/>
    <w:rsid w:val="312B3BDD"/>
    <w:rsid w:val="31354E84"/>
    <w:rsid w:val="31362EE2"/>
    <w:rsid w:val="313A230E"/>
    <w:rsid w:val="313B33A4"/>
    <w:rsid w:val="314F3DF8"/>
    <w:rsid w:val="315272FB"/>
    <w:rsid w:val="31623A5C"/>
    <w:rsid w:val="316305AE"/>
    <w:rsid w:val="31671F89"/>
    <w:rsid w:val="316C0267"/>
    <w:rsid w:val="31716F92"/>
    <w:rsid w:val="31747964"/>
    <w:rsid w:val="3179279B"/>
    <w:rsid w:val="319E1D2A"/>
    <w:rsid w:val="31A57A34"/>
    <w:rsid w:val="31C74CDD"/>
    <w:rsid w:val="31E60AE8"/>
    <w:rsid w:val="31EE1492"/>
    <w:rsid w:val="31F52043"/>
    <w:rsid w:val="31FB58A6"/>
    <w:rsid w:val="320A4138"/>
    <w:rsid w:val="320A5AE9"/>
    <w:rsid w:val="320A7897"/>
    <w:rsid w:val="321150C9"/>
    <w:rsid w:val="32144BB9"/>
    <w:rsid w:val="321546F3"/>
    <w:rsid w:val="32242FB0"/>
    <w:rsid w:val="32245343"/>
    <w:rsid w:val="32470AEB"/>
    <w:rsid w:val="324B19B3"/>
    <w:rsid w:val="325447C8"/>
    <w:rsid w:val="32555837"/>
    <w:rsid w:val="32676A97"/>
    <w:rsid w:val="32697616"/>
    <w:rsid w:val="327B69E7"/>
    <w:rsid w:val="327D275F"/>
    <w:rsid w:val="327E6024"/>
    <w:rsid w:val="328626B9"/>
    <w:rsid w:val="3287538B"/>
    <w:rsid w:val="328921D9"/>
    <w:rsid w:val="328D70FE"/>
    <w:rsid w:val="328E194F"/>
    <w:rsid w:val="32951856"/>
    <w:rsid w:val="32A45FDC"/>
    <w:rsid w:val="32AC094E"/>
    <w:rsid w:val="32CB3495"/>
    <w:rsid w:val="32D413E5"/>
    <w:rsid w:val="32DB1233"/>
    <w:rsid w:val="32DE2B24"/>
    <w:rsid w:val="32FA7971"/>
    <w:rsid w:val="32FF5BE4"/>
    <w:rsid w:val="330F7979"/>
    <w:rsid w:val="33164C7B"/>
    <w:rsid w:val="331C30AA"/>
    <w:rsid w:val="331F3053"/>
    <w:rsid w:val="332E7F4D"/>
    <w:rsid w:val="332F06AD"/>
    <w:rsid w:val="33391EAF"/>
    <w:rsid w:val="334119DE"/>
    <w:rsid w:val="3341378C"/>
    <w:rsid w:val="334E5EA9"/>
    <w:rsid w:val="33604E27"/>
    <w:rsid w:val="336F014F"/>
    <w:rsid w:val="33756B27"/>
    <w:rsid w:val="33887D31"/>
    <w:rsid w:val="338B0EAB"/>
    <w:rsid w:val="338F1587"/>
    <w:rsid w:val="33936148"/>
    <w:rsid w:val="33955DE2"/>
    <w:rsid w:val="33BC6FCB"/>
    <w:rsid w:val="33C741C8"/>
    <w:rsid w:val="33CF51E7"/>
    <w:rsid w:val="33D844B2"/>
    <w:rsid w:val="33E660E2"/>
    <w:rsid w:val="33EF1EC6"/>
    <w:rsid w:val="341837B7"/>
    <w:rsid w:val="341964B7"/>
    <w:rsid w:val="341D5FA7"/>
    <w:rsid w:val="3421711A"/>
    <w:rsid w:val="34297AD3"/>
    <w:rsid w:val="3435360F"/>
    <w:rsid w:val="34395609"/>
    <w:rsid w:val="3444546C"/>
    <w:rsid w:val="345033AD"/>
    <w:rsid w:val="345610CE"/>
    <w:rsid w:val="345A1F52"/>
    <w:rsid w:val="346A7429"/>
    <w:rsid w:val="347A3444"/>
    <w:rsid w:val="347F0664"/>
    <w:rsid w:val="34853675"/>
    <w:rsid w:val="3492608D"/>
    <w:rsid w:val="34A53451"/>
    <w:rsid w:val="34AF11BB"/>
    <w:rsid w:val="34C4793B"/>
    <w:rsid w:val="34D720D5"/>
    <w:rsid w:val="34D9259E"/>
    <w:rsid w:val="34E326FC"/>
    <w:rsid w:val="34E75156"/>
    <w:rsid w:val="34EF0FC6"/>
    <w:rsid w:val="34F0546A"/>
    <w:rsid w:val="34F07218"/>
    <w:rsid w:val="34F52217"/>
    <w:rsid w:val="34F52A80"/>
    <w:rsid w:val="350A1334"/>
    <w:rsid w:val="350B5E00"/>
    <w:rsid w:val="35154ED0"/>
    <w:rsid w:val="35353D4F"/>
    <w:rsid w:val="35402FAE"/>
    <w:rsid w:val="355404A0"/>
    <w:rsid w:val="355646E0"/>
    <w:rsid w:val="355B7775"/>
    <w:rsid w:val="355C275F"/>
    <w:rsid w:val="35643762"/>
    <w:rsid w:val="356631AB"/>
    <w:rsid w:val="356677D0"/>
    <w:rsid w:val="356E64B4"/>
    <w:rsid w:val="357D09B8"/>
    <w:rsid w:val="357E2A76"/>
    <w:rsid w:val="357F2293"/>
    <w:rsid w:val="35877674"/>
    <w:rsid w:val="35887450"/>
    <w:rsid w:val="358E0776"/>
    <w:rsid w:val="358E6A31"/>
    <w:rsid w:val="359304E6"/>
    <w:rsid w:val="35946042"/>
    <w:rsid w:val="359637F9"/>
    <w:rsid w:val="359F4AD1"/>
    <w:rsid w:val="35B6666C"/>
    <w:rsid w:val="35BA127A"/>
    <w:rsid w:val="35BD0123"/>
    <w:rsid w:val="35C33D4D"/>
    <w:rsid w:val="35C43B4E"/>
    <w:rsid w:val="35D27A9E"/>
    <w:rsid w:val="35D4547B"/>
    <w:rsid w:val="35D504B2"/>
    <w:rsid w:val="35DB742F"/>
    <w:rsid w:val="35E91715"/>
    <w:rsid w:val="35EB3E83"/>
    <w:rsid w:val="35F929D7"/>
    <w:rsid w:val="35FB3524"/>
    <w:rsid w:val="36103A89"/>
    <w:rsid w:val="36176A26"/>
    <w:rsid w:val="36210E41"/>
    <w:rsid w:val="362A28D8"/>
    <w:rsid w:val="362C24D2"/>
    <w:rsid w:val="362D6159"/>
    <w:rsid w:val="36342144"/>
    <w:rsid w:val="36356EAC"/>
    <w:rsid w:val="363965F8"/>
    <w:rsid w:val="364D41F6"/>
    <w:rsid w:val="36505EDD"/>
    <w:rsid w:val="365C67B4"/>
    <w:rsid w:val="366042CA"/>
    <w:rsid w:val="36632889"/>
    <w:rsid w:val="36664DAA"/>
    <w:rsid w:val="366B4F29"/>
    <w:rsid w:val="366E78DA"/>
    <w:rsid w:val="366F343D"/>
    <w:rsid w:val="36704FA0"/>
    <w:rsid w:val="367D3DB9"/>
    <w:rsid w:val="36841C9D"/>
    <w:rsid w:val="36895934"/>
    <w:rsid w:val="36932551"/>
    <w:rsid w:val="36AB1655"/>
    <w:rsid w:val="36B25798"/>
    <w:rsid w:val="36C421E9"/>
    <w:rsid w:val="36CB6E86"/>
    <w:rsid w:val="36D9329F"/>
    <w:rsid w:val="36DD2433"/>
    <w:rsid w:val="36E2185A"/>
    <w:rsid w:val="36F410BA"/>
    <w:rsid w:val="37060918"/>
    <w:rsid w:val="372066FD"/>
    <w:rsid w:val="3727673C"/>
    <w:rsid w:val="3733688A"/>
    <w:rsid w:val="37385431"/>
    <w:rsid w:val="373B47BD"/>
    <w:rsid w:val="374019EB"/>
    <w:rsid w:val="37441A9D"/>
    <w:rsid w:val="374617A4"/>
    <w:rsid w:val="37495295"/>
    <w:rsid w:val="374E46CA"/>
    <w:rsid w:val="37522992"/>
    <w:rsid w:val="375F7B7D"/>
    <w:rsid w:val="37696240"/>
    <w:rsid w:val="376B702A"/>
    <w:rsid w:val="37753CAD"/>
    <w:rsid w:val="37857C22"/>
    <w:rsid w:val="378C26E1"/>
    <w:rsid w:val="37A81BC3"/>
    <w:rsid w:val="37B55247"/>
    <w:rsid w:val="37B64172"/>
    <w:rsid w:val="37BA4071"/>
    <w:rsid w:val="37BE75F9"/>
    <w:rsid w:val="37CB5D1A"/>
    <w:rsid w:val="37CD3840"/>
    <w:rsid w:val="37D050DF"/>
    <w:rsid w:val="37D270A9"/>
    <w:rsid w:val="37DC3F4E"/>
    <w:rsid w:val="37DF3B2B"/>
    <w:rsid w:val="37E24032"/>
    <w:rsid w:val="37F257C5"/>
    <w:rsid w:val="37F27DEE"/>
    <w:rsid w:val="37FA15CA"/>
    <w:rsid w:val="3807330A"/>
    <w:rsid w:val="38074707"/>
    <w:rsid w:val="3810197F"/>
    <w:rsid w:val="381256F7"/>
    <w:rsid w:val="381513CF"/>
    <w:rsid w:val="38245E32"/>
    <w:rsid w:val="38277040"/>
    <w:rsid w:val="382935D7"/>
    <w:rsid w:val="383E60C2"/>
    <w:rsid w:val="384652DA"/>
    <w:rsid w:val="384B11DD"/>
    <w:rsid w:val="384C15F3"/>
    <w:rsid w:val="384F6751"/>
    <w:rsid w:val="38630159"/>
    <w:rsid w:val="386441BC"/>
    <w:rsid w:val="38743CBC"/>
    <w:rsid w:val="387A06FC"/>
    <w:rsid w:val="387F4DA4"/>
    <w:rsid w:val="3882155B"/>
    <w:rsid w:val="388307D2"/>
    <w:rsid w:val="389554ED"/>
    <w:rsid w:val="389E32F7"/>
    <w:rsid w:val="38A81E35"/>
    <w:rsid w:val="38BB0E8C"/>
    <w:rsid w:val="38CE7A89"/>
    <w:rsid w:val="38D62BC9"/>
    <w:rsid w:val="38E048C0"/>
    <w:rsid w:val="38F1405E"/>
    <w:rsid w:val="38F82B3F"/>
    <w:rsid w:val="38F909B4"/>
    <w:rsid w:val="38FB51C5"/>
    <w:rsid w:val="390A6409"/>
    <w:rsid w:val="391345CA"/>
    <w:rsid w:val="39184765"/>
    <w:rsid w:val="392531C1"/>
    <w:rsid w:val="39350496"/>
    <w:rsid w:val="39387D98"/>
    <w:rsid w:val="394D7D83"/>
    <w:rsid w:val="394E29A9"/>
    <w:rsid w:val="39554E25"/>
    <w:rsid w:val="39610843"/>
    <w:rsid w:val="396B55E6"/>
    <w:rsid w:val="39756027"/>
    <w:rsid w:val="397B3A22"/>
    <w:rsid w:val="397D685D"/>
    <w:rsid w:val="398D63D0"/>
    <w:rsid w:val="39902C76"/>
    <w:rsid w:val="399936D0"/>
    <w:rsid w:val="39A93D32"/>
    <w:rsid w:val="39B158D3"/>
    <w:rsid w:val="39B75737"/>
    <w:rsid w:val="39C05F22"/>
    <w:rsid w:val="39C34057"/>
    <w:rsid w:val="39C43B37"/>
    <w:rsid w:val="39CF33B9"/>
    <w:rsid w:val="39CF7037"/>
    <w:rsid w:val="39E17A95"/>
    <w:rsid w:val="39E41315"/>
    <w:rsid w:val="39EF1A51"/>
    <w:rsid w:val="39F73F5A"/>
    <w:rsid w:val="3A0863F5"/>
    <w:rsid w:val="3A0A0C34"/>
    <w:rsid w:val="3A1218FA"/>
    <w:rsid w:val="3A1D6A3F"/>
    <w:rsid w:val="3A243069"/>
    <w:rsid w:val="3A540487"/>
    <w:rsid w:val="3A5A7CAF"/>
    <w:rsid w:val="3A6B10EF"/>
    <w:rsid w:val="3A7668FC"/>
    <w:rsid w:val="3A78393E"/>
    <w:rsid w:val="3A7B0E05"/>
    <w:rsid w:val="3A8328DC"/>
    <w:rsid w:val="3A92DF72"/>
    <w:rsid w:val="3A9512E0"/>
    <w:rsid w:val="3A970136"/>
    <w:rsid w:val="3AA46CD1"/>
    <w:rsid w:val="3AC36EFA"/>
    <w:rsid w:val="3AC61354"/>
    <w:rsid w:val="3AE305A4"/>
    <w:rsid w:val="3AE7035F"/>
    <w:rsid w:val="3AF136CA"/>
    <w:rsid w:val="3AF66F42"/>
    <w:rsid w:val="3AF95FC8"/>
    <w:rsid w:val="3AFE20ED"/>
    <w:rsid w:val="3B0325CD"/>
    <w:rsid w:val="3B0660B1"/>
    <w:rsid w:val="3B0672D5"/>
    <w:rsid w:val="3B076A56"/>
    <w:rsid w:val="3B093091"/>
    <w:rsid w:val="3B0F1B0E"/>
    <w:rsid w:val="3B304BCD"/>
    <w:rsid w:val="3B326918"/>
    <w:rsid w:val="3B337E5E"/>
    <w:rsid w:val="3B3B033D"/>
    <w:rsid w:val="3B4B2027"/>
    <w:rsid w:val="3B636C58"/>
    <w:rsid w:val="3B7E1DB5"/>
    <w:rsid w:val="3B7E5FB3"/>
    <w:rsid w:val="3B81662E"/>
    <w:rsid w:val="3B8C4421"/>
    <w:rsid w:val="3BAC0327"/>
    <w:rsid w:val="3BB22C06"/>
    <w:rsid w:val="3BB23479"/>
    <w:rsid w:val="3BC919E7"/>
    <w:rsid w:val="3BCE442B"/>
    <w:rsid w:val="3BD11425"/>
    <w:rsid w:val="3BD31812"/>
    <w:rsid w:val="3BD9707D"/>
    <w:rsid w:val="3BE2277D"/>
    <w:rsid w:val="3BE23632"/>
    <w:rsid w:val="3BE531EF"/>
    <w:rsid w:val="3BF54630"/>
    <w:rsid w:val="3BF64F4D"/>
    <w:rsid w:val="3C026CDA"/>
    <w:rsid w:val="3C076506"/>
    <w:rsid w:val="3C0D677A"/>
    <w:rsid w:val="3C0E61B4"/>
    <w:rsid w:val="3C0F1DAD"/>
    <w:rsid w:val="3C15620B"/>
    <w:rsid w:val="3C222894"/>
    <w:rsid w:val="3C4C4F61"/>
    <w:rsid w:val="3C51110B"/>
    <w:rsid w:val="3C552056"/>
    <w:rsid w:val="3C5A5BA6"/>
    <w:rsid w:val="3C600902"/>
    <w:rsid w:val="3C6355C6"/>
    <w:rsid w:val="3C6D4AF5"/>
    <w:rsid w:val="3C760E8E"/>
    <w:rsid w:val="3C851E2D"/>
    <w:rsid w:val="3C8B4885"/>
    <w:rsid w:val="3C9112AA"/>
    <w:rsid w:val="3C983CE2"/>
    <w:rsid w:val="3C9C1A33"/>
    <w:rsid w:val="3C9F1D8B"/>
    <w:rsid w:val="3CA400C4"/>
    <w:rsid w:val="3CAF5FCA"/>
    <w:rsid w:val="3CB31058"/>
    <w:rsid w:val="3CBA4554"/>
    <w:rsid w:val="3CBC2A5D"/>
    <w:rsid w:val="3CC62971"/>
    <w:rsid w:val="3CC857A8"/>
    <w:rsid w:val="3CCA261A"/>
    <w:rsid w:val="3CE12AAC"/>
    <w:rsid w:val="3CE37662"/>
    <w:rsid w:val="3CE9515C"/>
    <w:rsid w:val="3CED3F9A"/>
    <w:rsid w:val="3CFB0E50"/>
    <w:rsid w:val="3D000214"/>
    <w:rsid w:val="3D0714CA"/>
    <w:rsid w:val="3D0E2985"/>
    <w:rsid w:val="3D1B74DC"/>
    <w:rsid w:val="3D301EA5"/>
    <w:rsid w:val="3D306260"/>
    <w:rsid w:val="3D33159D"/>
    <w:rsid w:val="3D350DE6"/>
    <w:rsid w:val="3D396654"/>
    <w:rsid w:val="3D6B3DC3"/>
    <w:rsid w:val="3D8A73BA"/>
    <w:rsid w:val="3D9B618F"/>
    <w:rsid w:val="3D9E620D"/>
    <w:rsid w:val="3DA257D2"/>
    <w:rsid w:val="3DAA0180"/>
    <w:rsid w:val="3DB72FC9"/>
    <w:rsid w:val="3DB83EFC"/>
    <w:rsid w:val="3DC6765B"/>
    <w:rsid w:val="3DCE3E6E"/>
    <w:rsid w:val="3DDF477C"/>
    <w:rsid w:val="3DF2DB4B"/>
    <w:rsid w:val="3DF87B4C"/>
    <w:rsid w:val="3E045AE2"/>
    <w:rsid w:val="3E0621CD"/>
    <w:rsid w:val="3E09134A"/>
    <w:rsid w:val="3E106DF7"/>
    <w:rsid w:val="3E144EC4"/>
    <w:rsid w:val="3E18158D"/>
    <w:rsid w:val="3E1F3ED3"/>
    <w:rsid w:val="3E3315F3"/>
    <w:rsid w:val="3E360B4B"/>
    <w:rsid w:val="3E410AE4"/>
    <w:rsid w:val="3E4B1963"/>
    <w:rsid w:val="3E5750C4"/>
    <w:rsid w:val="3E5D1698"/>
    <w:rsid w:val="3E5F6102"/>
    <w:rsid w:val="3E693B97"/>
    <w:rsid w:val="3E6978F9"/>
    <w:rsid w:val="3E833AAE"/>
    <w:rsid w:val="3E8C5BBA"/>
    <w:rsid w:val="3E9226BF"/>
    <w:rsid w:val="3EA56683"/>
    <w:rsid w:val="3EB80859"/>
    <w:rsid w:val="3EBC016B"/>
    <w:rsid w:val="3ED01E68"/>
    <w:rsid w:val="3ED9579B"/>
    <w:rsid w:val="3EE5695F"/>
    <w:rsid w:val="3EE938B6"/>
    <w:rsid w:val="3EEE1F3C"/>
    <w:rsid w:val="3EFD28DA"/>
    <w:rsid w:val="3EFE8999"/>
    <w:rsid w:val="3F02542B"/>
    <w:rsid w:val="3F0D4E6A"/>
    <w:rsid w:val="3F203985"/>
    <w:rsid w:val="3F304187"/>
    <w:rsid w:val="3F3754B7"/>
    <w:rsid w:val="3F383F7B"/>
    <w:rsid w:val="3F49DF26"/>
    <w:rsid w:val="3F633357"/>
    <w:rsid w:val="3F80563C"/>
    <w:rsid w:val="3F874006"/>
    <w:rsid w:val="3F8B0EF8"/>
    <w:rsid w:val="3FA26546"/>
    <w:rsid w:val="3FAD8C44"/>
    <w:rsid w:val="3FAF3FEF"/>
    <w:rsid w:val="3FBD2240"/>
    <w:rsid w:val="3FC11673"/>
    <w:rsid w:val="3FD21E14"/>
    <w:rsid w:val="3FDE07C5"/>
    <w:rsid w:val="3FE318E2"/>
    <w:rsid w:val="3FE57B1E"/>
    <w:rsid w:val="3FF62908"/>
    <w:rsid w:val="3FF79AB4"/>
    <w:rsid w:val="40153057"/>
    <w:rsid w:val="401F09B1"/>
    <w:rsid w:val="40284903"/>
    <w:rsid w:val="403D6B94"/>
    <w:rsid w:val="404313C6"/>
    <w:rsid w:val="405D597D"/>
    <w:rsid w:val="406114CC"/>
    <w:rsid w:val="409D24C0"/>
    <w:rsid w:val="40A54C1A"/>
    <w:rsid w:val="40CB56E0"/>
    <w:rsid w:val="40CD3BD6"/>
    <w:rsid w:val="40D804AB"/>
    <w:rsid w:val="40DA3AFD"/>
    <w:rsid w:val="40E1796E"/>
    <w:rsid w:val="40E83499"/>
    <w:rsid w:val="40F91BAA"/>
    <w:rsid w:val="41011231"/>
    <w:rsid w:val="41026F44"/>
    <w:rsid w:val="41056113"/>
    <w:rsid w:val="410F6C78"/>
    <w:rsid w:val="4124508D"/>
    <w:rsid w:val="413F5301"/>
    <w:rsid w:val="41587796"/>
    <w:rsid w:val="415D5A0A"/>
    <w:rsid w:val="41636FC4"/>
    <w:rsid w:val="41702706"/>
    <w:rsid w:val="417252AC"/>
    <w:rsid w:val="417472B4"/>
    <w:rsid w:val="41790595"/>
    <w:rsid w:val="418A4550"/>
    <w:rsid w:val="418A6BCD"/>
    <w:rsid w:val="418E16AC"/>
    <w:rsid w:val="419A55AA"/>
    <w:rsid w:val="41B31CF9"/>
    <w:rsid w:val="41BD1DD3"/>
    <w:rsid w:val="41D977B9"/>
    <w:rsid w:val="41F540C0"/>
    <w:rsid w:val="41FA4919"/>
    <w:rsid w:val="41FB544E"/>
    <w:rsid w:val="41FC33B4"/>
    <w:rsid w:val="41FE08D6"/>
    <w:rsid w:val="420C12BF"/>
    <w:rsid w:val="421503F7"/>
    <w:rsid w:val="42154762"/>
    <w:rsid w:val="42166091"/>
    <w:rsid w:val="421F61AF"/>
    <w:rsid w:val="42276258"/>
    <w:rsid w:val="42295FE8"/>
    <w:rsid w:val="423B0A86"/>
    <w:rsid w:val="423C4DDB"/>
    <w:rsid w:val="424A0877"/>
    <w:rsid w:val="42513CEB"/>
    <w:rsid w:val="425642AB"/>
    <w:rsid w:val="426B0B13"/>
    <w:rsid w:val="42763F02"/>
    <w:rsid w:val="427A2817"/>
    <w:rsid w:val="4280614C"/>
    <w:rsid w:val="42BF647C"/>
    <w:rsid w:val="42CE53D3"/>
    <w:rsid w:val="42E63A08"/>
    <w:rsid w:val="42EB37C3"/>
    <w:rsid w:val="42FA663B"/>
    <w:rsid w:val="42FC6AEE"/>
    <w:rsid w:val="43095743"/>
    <w:rsid w:val="431E324B"/>
    <w:rsid w:val="431F37EA"/>
    <w:rsid w:val="43217C5D"/>
    <w:rsid w:val="432F1F96"/>
    <w:rsid w:val="434236A5"/>
    <w:rsid w:val="434264A2"/>
    <w:rsid w:val="43457648"/>
    <w:rsid w:val="4348021F"/>
    <w:rsid w:val="434D7F2B"/>
    <w:rsid w:val="4374071E"/>
    <w:rsid w:val="43740E02"/>
    <w:rsid w:val="4377665A"/>
    <w:rsid w:val="43A07023"/>
    <w:rsid w:val="43C7531C"/>
    <w:rsid w:val="43D45F57"/>
    <w:rsid w:val="43E43292"/>
    <w:rsid w:val="43EA7528"/>
    <w:rsid w:val="43EC32A0"/>
    <w:rsid w:val="44017D92"/>
    <w:rsid w:val="4407632C"/>
    <w:rsid w:val="44133CFC"/>
    <w:rsid w:val="44175B2F"/>
    <w:rsid w:val="444242BC"/>
    <w:rsid w:val="444416CA"/>
    <w:rsid w:val="44451875"/>
    <w:rsid w:val="4448159C"/>
    <w:rsid w:val="444A1E6A"/>
    <w:rsid w:val="44775260"/>
    <w:rsid w:val="44796DFB"/>
    <w:rsid w:val="44812720"/>
    <w:rsid w:val="44850357"/>
    <w:rsid w:val="44854738"/>
    <w:rsid w:val="44946F99"/>
    <w:rsid w:val="449F6E10"/>
    <w:rsid w:val="44A667A7"/>
    <w:rsid w:val="44B7553B"/>
    <w:rsid w:val="44C02215"/>
    <w:rsid w:val="44DF5D96"/>
    <w:rsid w:val="44F20D8A"/>
    <w:rsid w:val="44F468B0"/>
    <w:rsid w:val="44F7222D"/>
    <w:rsid w:val="44FD3962"/>
    <w:rsid w:val="451231DA"/>
    <w:rsid w:val="451867E7"/>
    <w:rsid w:val="45207390"/>
    <w:rsid w:val="45350C77"/>
    <w:rsid w:val="45376BFD"/>
    <w:rsid w:val="455922E2"/>
    <w:rsid w:val="45651633"/>
    <w:rsid w:val="456C7773"/>
    <w:rsid w:val="457A37FF"/>
    <w:rsid w:val="458F47E7"/>
    <w:rsid w:val="459F66C2"/>
    <w:rsid w:val="45CE5D80"/>
    <w:rsid w:val="45ED4D37"/>
    <w:rsid w:val="45F91CA4"/>
    <w:rsid w:val="45FF375F"/>
    <w:rsid w:val="46055511"/>
    <w:rsid w:val="46084CE9"/>
    <w:rsid w:val="46092859"/>
    <w:rsid w:val="461E795D"/>
    <w:rsid w:val="46205E85"/>
    <w:rsid w:val="46224C70"/>
    <w:rsid w:val="46243E30"/>
    <w:rsid w:val="46402CCA"/>
    <w:rsid w:val="46487256"/>
    <w:rsid w:val="466C691A"/>
    <w:rsid w:val="46717E70"/>
    <w:rsid w:val="46746318"/>
    <w:rsid w:val="467542B6"/>
    <w:rsid w:val="467D376F"/>
    <w:rsid w:val="468717C3"/>
    <w:rsid w:val="4688794D"/>
    <w:rsid w:val="468B4FF2"/>
    <w:rsid w:val="469D2F78"/>
    <w:rsid w:val="469E449E"/>
    <w:rsid w:val="46A15CDB"/>
    <w:rsid w:val="46AB16AB"/>
    <w:rsid w:val="46B0401C"/>
    <w:rsid w:val="46C305E6"/>
    <w:rsid w:val="46DA0645"/>
    <w:rsid w:val="46E4533A"/>
    <w:rsid w:val="46FB541D"/>
    <w:rsid w:val="47022898"/>
    <w:rsid w:val="47022DDB"/>
    <w:rsid w:val="47075699"/>
    <w:rsid w:val="470A74E3"/>
    <w:rsid w:val="470B1C8F"/>
    <w:rsid w:val="47183835"/>
    <w:rsid w:val="4734568A"/>
    <w:rsid w:val="47411405"/>
    <w:rsid w:val="47477FDB"/>
    <w:rsid w:val="474B4782"/>
    <w:rsid w:val="47504375"/>
    <w:rsid w:val="47573EB3"/>
    <w:rsid w:val="47622E95"/>
    <w:rsid w:val="476D4AB9"/>
    <w:rsid w:val="476F5C76"/>
    <w:rsid w:val="477172B3"/>
    <w:rsid w:val="47771248"/>
    <w:rsid w:val="47775577"/>
    <w:rsid w:val="477B4524"/>
    <w:rsid w:val="47833F1C"/>
    <w:rsid w:val="47906638"/>
    <w:rsid w:val="47953C4F"/>
    <w:rsid w:val="47B00517"/>
    <w:rsid w:val="47BB36B5"/>
    <w:rsid w:val="47C2039B"/>
    <w:rsid w:val="47CB202D"/>
    <w:rsid w:val="47CD0091"/>
    <w:rsid w:val="47CD6F16"/>
    <w:rsid w:val="47CF34EA"/>
    <w:rsid w:val="47D167EC"/>
    <w:rsid w:val="47E9653F"/>
    <w:rsid w:val="47F46BC7"/>
    <w:rsid w:val="47FC58A4"/>
    <w:rsid w:val="480321E6"/>
    <w:rsid w:val="4803505C"/>
    <w:rsid w:val="48036E0A"/>
    <w:rsid w:val="481A5A95"/>
    <w:rsid w:val="481D724C"/>
    <w:rsid w:val="482C6510"/>
    <w:rsid w:val="484C255F"/>
    <w:rsid w:val="48573151"/>
    <w:rsid w:val="4857632E"/>
    <w:rsid w:val="485C3580"/>
    <w:rsid w:val="48642631"/>
    <w:rsid w:val="486C1ED8"/>
    <w:rsid w:val="487726DA"/>
    <w:rsid w:val="48844044"/>
    <w:rsid w:val="488818D4"/>
    <w:rsid w:val="48894BB5"/>
    <w:rsid w:val="488F3BC4"/>
    <w:rsid w:val="489F232B"/>
    <w:rsid w:val="48AD6BF4"/>
    <w:rsid w:val="48BF71D5"/>
    <w:rsid w:val="48CC7164"/>
    <w:rsid w:val="48CD09DE"/>
    <w:rsid w:val="48CE536C"/>
    <w:rsid w:val="48D14A1C"/>
    <w:rsid w:val="48EC3D42"/>
    <w:rsid w:val="48F21F41"/>
    <w:rsid w:val="48F45C48"/>
    <w:rsid w:val="493C25D4"/>
    <w:rsid w:val="494B2817"/>
    <w:rsid w:val="49520FBA"/>
    <w:rsid w:val="49534C5E"/>
    <w:rsid w:val="4956564D"/>
    <w:rsid w:val="495C1986"/>
    <w:rsid w:val="4968592C"/>
    <w:rsid w:val="497404B5"/>
    <w:rsid w:val="49778F96"/>
    <w:rsid w:val="49821F6E"/>
    <w:rsid w:val="49946FDC"/>
    <w:rsid w:val="499D73BF"/>
    <w:rsid w:val="49A0064F"/>
    <w:rsid w:val="49A27EEF"/>
    <w:rsid w:val="49B43F2D"/>
    <w:rsid w:val="49C12C97"/>
    <w:rsid w:val="49C564C7"/>
    <w:rsid w:val="49C83E68"/>
    <w:rsid w:val="49DF11B1"/>
    <w:rsid w:val="49E0425C"/>
    <w:rsid w:val="49E80AF9"/>
    <w:rsid w:val="49EF701C"/>
    <w:rsid w:val="49F54148"/>
    <w:rsid w:val="49F71B6E"/>
    <w:rsid w:val="4A2A0ABF"/>
    <w:rsid w:val="4A3B0ADD"/>
    <w:rsid w:val="4A4213E1"/>
    <w:rsid w:val="4A483506"/>
    <w:rsid w:val="4A6456F8"/>
    <w:rsid w:val="4A917291"/>
    <w:rsid w:val="4A935A5D"/>
    <w:rsid w:val="4A9A5462"/>
    <w:rsid w:val="4A9B4458"/>
    <w:rsid w:val="4AA743C5"/>
    <w:rsid w:val="4AA778B3"/>
    <w:rsid w:val="4AB10697"/>
    <w:rsid w:val="4ACA0FDE"/>
    <w:rsid w:val="4ACB5597"/>
    <w:rsid w:val="4AD37841"/>
    <w:rsid w:val="4AD7419C"/>
    <w:rsid w:val="4AE368B5"/>
    <w:rsid w:val="4AE70C5C"/>
    <w:rsid w:val="4AEF3676"/>
    <w:rsid w:val="4AF018C8"/>
    <w:rsid w:val="4AFD21AE"/>
    <w:rsid w:val="4B007631"/>
    <w:rsid w:val="4B012F86"/>
    <w:rsid w:val="4B1A06F3"/>
    <w:rsid w:val="4B245A16"/>
    <w:rsid w:val="4B2743D8"/>
    <w:rsid w:val="4B287987"/>
    <w:rsid w:val="4B36407A"/>
    <w:rsid w:val="4B370A48"/>
    <w:rsid w:val="4B3B7D7C"/>
    <w:rsid w:val="4B3F56B0"/>
    <w:rsid w:val="4B5A31E5"/>
    <w:rsid w:val="4B5A5A42"/>
    <w:rsid w:val="4B5B19AA"/>
    <w:rsid w:val="4B645E12"/>
    <w:rsid w:val="4B660AA4"/>
    <w:rsid w:val="4B68381B"/>
    <w:rsid w:val="4B6C1757"/>
    <w:rsid w:val="4B706C91"/>
    <w:rsid w:val="4B7B6FA6"/>
    <w:rsid w:val="4B825F06"/>
    <w:rsid w:val="4B843FBA"/>
    <w:rsid w:val="4B887D52"/>
    <w:rsid w:val="4B897D5F"/>
    <w:rsid w:val="4B8E10E1"/>
    <w:rsid w:val="4B9506C1"/>
    <w:rsid w:val="4B985A2C"/>
    <w:rsid w:val="4BA00375"/>
    <w:rsid w:val="4BA25495"/>
    <w:rsid w:val="4BA3693A"/>
    <w:rsid w:val="4BA74FFC"/>
    <w:rsid w:val="4BA92ECC"/>
    <w:rsid w:val="4BB62E22"/>
    <w:rsid w:val="4BC90A28"/>
    <w:rsid w:val="4BD75D9A"/>
    <w:rsid w:val="4BDA60D4"/>
    <w:rsid w:val="4BE022A9"/>
    <w:rsid w:val="4BFE5C1D"/>
    <w:rsid w:val="4C045B9D"/>
    <w:rsid w:val="4C0956F2"/>
    <w:rsid w:val="4C0B2601"/>
    <w:rsid w:val="4C156106"/>
    <w:rsid w:val="4C1A50DE"/>
    <w:rsid w:val="4C1F7F5E"/>
    <w:rsid w:val="4C286E40"/>
    <w:rsid w:val="4C346232"/>
    <w:rsid w:val="4C44033A"/>
    <w:rsid w:val="4C490257"/>
    <w:rsid w:val="4C5D6DBB"/>
    <w:rsid w:val="4C635307"/>
    <w:rsid w:val="4C6D7242"/>
    <w:rsid w:val="4C722362"/>
    <w:rsid w:val="4C7B6DED"/>
    <w:rsid w:val="4C7E4CB1"/>
    <w:rsid w:val="4C9D2E6F"/>
    <w:rsid w:val="4CA037FA"/>
    <w:rsid w:val="4CA30D7A"/>
    <w:rsid w:val="4CA404E9"/>
    <w:rsid w:val="4CAD4AF6"/>
    <w:rsid w:val="4CAF57B3"/>
    <w:rsid w:val="4CC51B63"/>
    <w:rsid w:val="4CCA55D1"/>
    <w:rsid w:val="4CE64E45"/>
    <w:rsid w:val="4CE91A44"/>
    <w:rsid w:val="4CF80F08"/>
    <w:rsid w:val="4D003D3C"/>
    <w:rsid w:val="4D0273B3"/>
    <w:rsid w:val="4D117941"/>
    <w:rsid w:val="4D13604C"/>
    <w:rsid w:val="4D1878D4"/>
    <w:rsid w:val="4D266356"/>
    <w:rsid w:val="4D3358B9"/>
    <w:rsid w:val="4D3F50AA"/>
    <w:rsid w:val="4D4B2D71"/>
    <w:rsid w:val="4D665E71"/>
    <w:rsid w:val="4D6A4506"/>
    <w:rsid w:val="4D866514"/>
    <w:rsid w:val="4D8C7228"/>
    <w:rsid w:val="4D926C66"/>
    <w:rsid w:val="4D946154"/>
    <w:rsid w:val="4DA84C22"/>
    <w:rsid w:val="4DBD4B5D"/>
    <w:rsid w:val="4DC37313"/>
    <w:rsid w:val="4DD83D86"/>
    <w:rsid w:val="4DE310F8"/>
    <w:rsid w:val="4DEA53BD"/>
    <w:rsid w:val="4E013C63"/>
    <w:rsid w:val="4E021D24"/>
    <w:rsid w:val="4E05260A"/>
    <w:rsid w:val="4E072E1C"/>
    <w:rsid w:val="4E1326E7"/>
    <w:rsid w:val="4E257ADB"/>
    <w:rsid w:val="4E2E5C65"/>
    <w:rsid w:val="4E3D6076"/>
    <w:rsid w:val="4E437F61"/>
    <w:rsid w:val="4E4B32B9"/>
    <w:rsid w:val="4E4C437C"/>
    <w:rsid w:val="4E57640F"/>
    <w:rsid w:val="4E583067"/>
    <w:rsid w:val="4E641EF7"/>
    <w:rsid w:val="4E6B57B3"/>
    <w:rsid w:val="4E832A53"/>
    <w:rsid w:val="4E873F0D"/>
    <w:rsid w:val="4E896CF3"/>
    <w:rsid w:val="4E8A5B90"/>
    <w:rsid w:val="4E901B7F"/>
    <w:rsid w:val="4E932DF9"/>
    <w:rsid w:val="4E9D0692"/>
    <w:rsid w:val="4EA23A90"/>
    <w:rsid w:val="4EA56E23"/>
    <w:rsid w:val="4EAB0005"/>
    <w:rsid w:val="4EC04CCC"/>
    <w:rsid w:val="4ECC7CA4"/>
    <w:rsid w:val="4ED558F1"/>
    <w:rsid w:val="4EDD526B"/>
    <w:rsid w:val="4EF43951"/>
    <w:rsid w:val="4EFE032C"/>
    <w:rsid w:val="4F0157BB"/>
    <w:rsid w:val="4F1246BB"/>
    <w:rsid w:val="4F2238E5"/>
    <w:rsid w:val="4F227E34"/>
    <w:rsid w:val="4F267708"/>
    <w:rsid w:val="4F351751"/>
    <w:rsid w:val="4F3F52C7"/>
    <w:rsid w:val="4F4C750E"/>
    <w:rsid w:val="4F5F0DCA"/>
    <w:rsid w:val="4F6350F3"/>
    <w:rsid w:val="4F696BD7"/>
    <w:rsid w:val="4F6E2D92"/>
    <w:rsid w:val="4F703A39"/>
    <w:rsid w:val="4F7800DE"/>
    <w:rsid w:val="4F7E438F"/>
    <w:rsid w:val="4F870321"/>
    <w:rsid w:val="4F8922EB"/>
    <w:rsid w:val="4F9372D6"/>
    <w:rsid w:val="4F9472EF"/>
    <w:rsid w:val="4FBA06F6"/>
    <w:rsid w:val="4FBB4669"/>
    <w:rsid w:val="4FC11D5D"/>
    <w:rsid w:val="4FC73156"/>
    <w:rsid w:val="4FC92FD2"/>
    <w:rsid w:val="4FCF5486"/>
    <w:rsid w:val="4FD16CC8"/>
    <w:rsid w:val="4FE94B38"/>
    <w:rsid w:val="4FF11270"/>
    <w:rsid w:val="4FF30042"/>
    <w:rsid w:val="5003098E"/>
    <w:rsid w:val="50263B36"/>
    <w:rsid w:val="5032409D"/>
    <w:rsid w:val="5041529F"/>
    <w:rsid w:val="50473DBA"/>
    <w:rsid w:val="50502F81"/>
    <w:rsid w:val="505934D7"/>
    <w:rsid w:val="507A1254"/>
    <w:rsid w:val="507C1E50"/>
    <w:rsid w:val="508C35DD"/>
    <w:rsid w:val="50AB7F55"/>
    <w:rsid w:val="50BE5FC4"/>
    <w:rsid w:val="50CA750F"/>
    <w:rsid w:val="50DD3A48"/>
    <w:rsid w:val="50EC2B32"/>
    <w:rsid w:val="50F63DC5"/>
    <w:rsid w:val="51004D18"/>
    <w:rsid w:val="510E7828"/>
    <w:rsid w:val="510F0458"/>
    <w:rsid w:val="510F423E"/>
    <w:rsid w:val="512247A5"/>
    <w:rsid w:val="5139389D"/>
    <w:rsid w:val="51412E3F"/>
    <w:rsid w:val="514D60DE"/>
    <w:rsid w:val="515041C5"/>
    <w:rsid w:val="515716DB"/>
    <w:rsid w:val="5177394D"/>
    <w:rsid w:val="5177443D"/>
    <w:rsid w:val="517A557A"/>
    <w:rsid w:val="517E388E"/>
    <w:rsid w:val="51823496"/>
    <w:rsid w:val="51962A9D"/>
    <w:rsid w:val="519F5DF6"/>
    <w:rsid w:val="51A14105"/>
    <w:rsid w:val="51A3180E"/>
    <w:rsid w:val="51A54D5F"/>
    <w:rsid w:val="51B06EFE"/>
    <w:rsid w:val="51B92B9B"/>
    <w:rsid w:val="51C77740"/>
    <w:rsid w:val="51CC000D"/>
    <w:rsid w:val="51CD64B3"/>
    <w:rsid w:val="51EB424C"/>
    <w:rsid w:val="51EF41A3"/>
    <w:rsid w:val="51F9252A"/>
    <w:rsid w:val="520E35D6"/>
    <w:rsid w:val="52122C03"/>
    <w:rsid w:val="521814A2"/>
    <w:rsid w:val="52265E05"/>
    <w:rsid w:val="52306A4E"/>
    <w:rsid w:val="523D1B1A"/>
    <w:rsid w:val="524179E7"/>
    <w:rsid w:val="52491C87"/>
    <w:rsid w:val="525B4C3C"/>
    <w:rsid w:val="52771D95"/>
    <w:rsid w:val="527D41FE"/>
    <w:rsid w:val="52976ACD"/>
    <w:rsid w:val="52B70F1D"/>
    <w:rsid w:val="52D60D2E"/>
    <w:rsid w:val="52D7336D"/>
    <w:rsid w:val="52DE5306"/>
    <w:rsid w:val="52E2243E"/>
    <w:rsid w:val="52FE36FD"/>
    <w:rsid w:val="530D704E"/>
    <w:rsid w:val="531225F7"/>
    <w:rsid w:val="53253909"/>
    <w:rsid w:val="532E0AA3"/>
    <w:rsid w:val="533F163E"/>
    <w:rsid w:val="53415FC6"/>
    <w:rsid w:val="535A1982"/>
    <w:rsid w:val="53654E1D"/>
    <w:rsid w:val="536746F1"/>
    <w:rsid w:val="53715570"/>
    <w:rsid w:val="537D6A5F"/>
    <w:rsid w:val="538104BC"/>
    <w:rsid w:val="538243F4"/>
    <w:rsid w:val="538260A7"/>
    <w:rsid w:val="538452A3"/>
    <w:rsid w:val="53896B2F"/>
    <w:rsid w:val="538F069B"/>
    <w:rsid w:val="53965D6A"/>
    <w:rsid w:val="539F35C8"/>
    <w:rsid w:val="53B40942"/>
    <w:rsid w:val="53C4157A"/>
    <w:rsid w:val="53C41B44"/>
    <w:rsid w:val="53E62553"/>
    <w:rsid w:val="53EA0E7E"/>
    <w:rsid w:val="53FE30ED"/>
    <w:rsid w:val="540119DB"/>
    <w:rsid w:val="54011D8E"/>
    <w:rsid w:val="54014F98"/>
    <w:rsid w:val="540B4BF0"/>
    <w:rsid w:val="54355B38"/>
    <w:rsid w:val="543D22F3"/>
    <w:rsid w:val="543F6D8B"/>
    <w:rsid w:val="54543237"/>
    <w:rsid w:val="5463257E"/>
    <w:rsid w:val="54685B9D"/>
    <w:rsid w:val="546B7C96"/>
    <w:rsid w:val="546F42F9"/>
    <w:rsid w:val="54827DE7"/>
    <w:rsid w:val="54BD7936"/>
    <w:rsid w:val="54C65448"/>
    <w:rsid w:val="54CB0CB0"/>
    <w:rsid w:val="551400FD"/>
    <w:rsid w:val="551502E2"/>
    <w:rsid w:val="551C5928"/>
    <w:rsid w:val="5528557E"/>
    <w:rsid w:val="5543223B"/>
    <w:rsid w:val="555178E1"/>
    <w:rsid w:val="556F6374"/>
    <w:rsid w:val="558A51DB"/>
    <w:rsid w:val="558E00BC"/>
    <w:rsid w:val="559A69A6"/>
    <w:rsid w:val="55A12F28"/>
    <w:rsid w:val="55AA648C"/>
    <w:rsid w:val="55B335CC"/>
    <w:rsid w:val="55DC0BC5"/>
    <w:rsid w:val="560541D5"/>
    <w:rsid w:val="56066443"/>
    <w:rsid w:val="560B1E03"/>
    <w:rsid w:val="560F0994"/>
    <w:rsid w:val="56284402"/>
    <w:rsid w:val="562B7C58"/>
    <w:rsid w:val="562E7748"/>
    <w:rsid w:val="56363D8F"/>
    <w:rsid w:val="564C7BCE"/>
    <w:rsid w:val="5655792E"/>
    <w:rsid w:val="565B4B7F"/>
    <w:rsid w:val="56654DFD"/>
    <w:rsid w:val="56666EE2"/>
    <w:rsid w:val="567C0AA8"/>
    <w:rsid w:val="567E7FD3"/>
    <w:rsid w:val="56802E81"/>
    <w:rsid w:val="56846EC5"/>
    <w:rsid w:val="56936F32"/>
    <w:rsid w:val="56A30D58"/>
    <w:rsid w:val="56A6354C"/>
    <w:rsid w:val="56C37E91"/>
    <w:rsid w:val="56C81F1C"/>
    <w:rsid w:val="56D62C0B"/>
    <w:rsid w:val="56DB68DE"/>
    <w:rsid w:val="56E1637F"/>
    <w:rsid w:val="56E5619C"/>
    <w:rsid w:val="56EA18C1"/>
    <w:rsid w:val="56F5C3CF"/>
    <w:rsid w:val="56FC33A3"/>
    <w:rsid w:val="56FF6A94"/>
    <w:rsid w:val="57080F9F"/>
    <w:rsid w:val="57256D9D"/>
    <w:rsid w:val="572B5384"/>
    <w:rsid w:val="5745161E"/>
    <w:rsid w:val="57511001"/>
    <w:rsid w:val="57527466"/>
    <w:rsid w:val="5767167C"/>
    <w:rsid w:val="577461AC"/>
    <w:rsid w:val="577D32F0"/>
    <w:rsid w:val="57872A6A"/>
    <w:rsid w:val="578F2469"/>
    <w:rsid w:val="57914433"/>
    <w:rsid w:val="579310B1"/>
    <w:rsid w:val="579C387F"/>
    <w:rsid w:val="57AB627A"/>
    <w:rsid w:val="57BB14B0"/>
    <w:rsid w:val="57BC7B22"/>
    <w:rsid w:val="57ED0CCB"/>
    <w:rsid w:val="57F53688"/>
    <w:rsid w:val="581C27D1"/>
    <w:rsid w:val="581E271D"/>
    <w:rsid w:val="581E56E4"/>
    <w:rsid w:val="58324F0C"/>
    <w:rsid w:val="5851188E"/>
    <w:rsid w:val="58523BC2"/>
    <w:rsid w:val="58645662"/>
    <w:rsid w:val="586A79B6"/>
    <w:rsid w:val="588C69A8"/>
    <w:rsid w:val="588D419D"/>
    <w:rsid w:val="5892517F"/>
    <w:rsid w:val="589C6BEB"/>
    <w:rsid w:val="589D3A33"/>
    <w:rsid w:val="58A263B4"/>
    <w:rsid w:val="58AA7548"/>
    <w:rsid w:val="58AF6F99"/>
    <w:rsid w:val="58BC5B56"/>
    <w:rsid w:val="58C6010C"/>
    <w:rsid w:val="58DE07B7"/>
    <w:rsid w:val="58F430F6"/>
    <w:rsid w:val="58FA1E64"/>
    <w:rsid w:val="591F1682"/>
    <w:rsid w:val="59375A1D"/>
    <w:rsid w:val="5939664C"/>
    <w:rsid w:val="595C28BE"/>
    <w:rsid w:val="5963683C"/>
    <w:rsid w:val="59662975"/>
    <w:rsid w:val="596C58B7"/>
    <w:rsid w:val="596D67DA"/>
    <w:rsid w:val="596D7710"/>
    <w:rsid w:val="597A54E4"/>
    <w:rsid w:val="597E2D83"/>
    <w:rsid w:val="59862F0F"/>
    <w:rsid w:val="5987789B"/>
    <w:rsid w:val="59A153CF"/>
    <w:rsid w:val="59A514BE"/>
    <w:rsid w:val="59B61F2F"/>
    <w:rsid w:val="59B81AE9"/>
    <w:rsid w:val="59BD5A6D"/>
    <w:rsid w:val="59C52952"/>
    <w:rsid w:val="59E36E2E"/>
    <w:rsid w:val="59E52814"/>
    <w:rsid w:val="59E81791"/>
    <w:rsid w:val="59EA1BD8"/>
    <w:rsid w:val="5A0F3B18"/>
    <w:rsid w:val="5A1969F0"/>
    <w:rsid w:val="5A1B2694"/>
    <w:rsid w:val="5A276080"/>
    <w:rsid w:val="5A2C5159"/>
    <w:rsid w:val="5A347FEB"/>
    <w:rsid w:val="5A380B96"/>
    <w:rsid w:val="5A3C15A0"/>
    <w:rsid w:val="5A3F0176"/>
    <w:rsid w:val="5A554E5B"/>
    <w:rsid w:val="5A59655A"/>
    <w:rsid w:val="5A6A0738"/>
    <w:rsid w:val="5A6F6D8D"/>
    <w:rsid w:val="5A7D5E2A"/>
    <w:rsid w:val="5A932270"/>
    <w:rsid w:val="5AA02512"/>
    <w:rsid w:val="5AAB580B"/>
    <w:rsid w:val="5ABF12A7"/>
    <w:rsid w:val="5AC266B1"/>
    <w:rsid w:val="5AC4347D"/>
    <w:rsid w:val="5ACD39D4"/>
    <w:rsid w:val="5AD75C76"/>
    <w:rsid w:val="5ADC2252"/>
    <w:rsid w:val="5AE8428A"/>
    <w:rsid w:val="5B032599"/>
    <w:rsid w:val="5B0B1E06"/>
    <w:rsid w:val="5B0B4DC0"/>
    <w:rsid w:val="5B160F93"/>
    <w:rsid w:val="5B181723"/>
    <w:rsid w:val="5B1F1D55"/>
    <w:rsid w:val="5B295DF3"/>
    <w:rsid w:val="5B311173"/>
    <w:rsid w:val="5B3B1B1D"/>
    <w:rsid w:val="5B3D6E3B"/>
    <w:rsid w:val="5B58794A"/>
    <w:rsid w:val="5B5F4BE9"/>
    <w:rsid w:val="5B637846"/>
    <w:rsid w:val="5B7163FA"/>
    <w:rsid w:val="5B721E85"/>
    <w:rsid w:val="5B752632"/>
    <w:rsid w:val="5B7F3AD9"/>
    <w:rsid w:val="5B871DD5"/>
    <w:rsid w:val="5B90055D"/>
    <w:rsid w:val="5B950CFD"/>
    <w:rsid w:val="5B977B3E"/>
    <w:rsid w:val="5B993689"/>
    <w:rsid w:val="5BA04C44"/>
    <w:rsid w:val="5BA17541"/>
    <w:rsid w:val="5BB87F5D"/>
    <w:rsid w:val="5BC326E1"/>
    <w:rsid w:val="5BC46A10"/>
    <w:rsid w:val="5BC730F0"/>
    <w:rsid w:val="5BC82628"/>
    <w:rsid w:val="5BCF6667"/>
    <w:rsid w:val="5BE4195C"/>
    <w:rsid w:val="5BEB4D34"/>
    <w:rsid w:val="5BED06D4"/>
    <w:rsid w:val="5BF11639"/>
    <w:rsid w:val="5BF14385"/>
    <w:rsid w:val="5BF46DD7"/>
    <w:rsid w:val="5C0E333F"/>
    <w:rsid w:val="5C2A5178"/>
    <w:rsid w:val="5C416ED7"/>
    <w:rsid w:val="5C442095"/>
    <w:rsid w:val="5C4B1880"/>
    <w:rsid w:val="5C562452"/>
    <w:rsid w:val="5C56485E"/>
    <w:rsid w:val="5C677510"/>
    <w:rsid w:val="5C6B03E1"/>
    <w:rsid w:val="5C741C2D"/>
    <w:rsid w:val="5C895081"/>
    <w:rsid w:val="5C8A04DE"/>
    <w:rsid w:val="5C9C33C6"/>
    <w:rsid w:val="5CA93FCD"/>
    <w:rsid w:val="5CC149DD"/>
    <w:rsid w:val="5CC915CF"/>
    <w:rsid w:val="5CC93515"/>
    <w:rsid w:val="5CCA49F8"/>
    <w:rsid w:val="5CCA5F10"/>
    <w:rsid w:val="5CD35655"/>
    <w:rsid w:val="5CD73956"/>
    <w:rsid w:val="5CE45005"/>
    <w:rsid w:val="5CFC1D60"/>
    <w:rsid w:val="5CFF7659"/>
    <w:rsid w:val="5D0076FF"/>
    <w:rsid w:val="5D2A08C0"/>
    <w:rsid w:val="5D325D70"/>
    <w:rsid w:val="5D3C099D"/>
    <w:rsid w:val="5D3C274B"/>
    <w:rsid w:val="5D3C58E0"/>
    <w:rsid w:val="5D473CFC"/>
    <w:rsid w:val="5D683384"/>
    <w:rsid w:val="5D8C3996"/>
    <w:rsid w:val="5D962D72"/>
    <w:rsid w:val="5D96638F"/>
    <w:rsid w:val="5DA36C6E"/>
    <w:rsid w:val="5DCB74D8"/>
    <w:rsid w:val="5DE66B5A"/>
    <w:rsid w:val="5DEF30E4"/>
    <w:rsid w:val="5DF24B50"/>
    <w:rsid w:val="5DF9688E"/>
    <w:rsid w:val="5E021B2B"/>
    <w:rsid w:val="5E200B22"/>
    <w:rsid w:val="5E376951"/>
    <w:rsid w:val="5E4B1131"/>
    <w:rsid w:val="5E5341F0"/>
    <w:rsid w:val="5E557935"/>
    <w:rsid w:val="5E587A58"/>
    <w:rsid w:val="5E5F78A8"/>
    <w:rsid w:val="5E6E375A"/>
    <w:rsid w:val="5E792530"/>
    <w:rsid w:val="5E796271"/>
    <w:rsid w:val="5E7B7D86"/>
    <w:rsid w:val="5E7E05A8"/>
    <w:rsid w:val="5E847FBB"/>
    <w:rsid w:val="5EA83C20"/>
    <w:rsid w:val="5EAA6F5F"/>
    <w:rsid w:val="5EAB6A71"/>
    <w:rsid w:val="5EB822A5"/>
    <w:rsid w:val="5EBA426F"/>
    <w:rsid w:val="5EC1237B"/>
    <w:rsid w:val="5ED665B0"/>
    <w:rsid w:val="5EDD2779"/>
    <w:rsid w:val="5EE5521E"/>
    <w:rsid w:val="5F0637E4"/>
    <w:rsid w:val="5F11296C"/>
    <w:rsid w:val="5F1C6CD8"/>
    <w:rsid w:val="5F1F4636"/>
    <w:rsid w:val="5F4705F2"/>
    <w:rsid w:val="5F4918E4"/>
    <w:rsid w:val="5F531FCE"/>
    <w:rsid w:val="5F6277ED"/>
    <w:rsid w:val="5F661040"/>
    <w:rsid w:val="5F6F1A33"/>
    <w:rsid w:val="5F701430"/>
    <w:rsid w:val="5F724B4A"/>
    <w:rsid w:val="5F7420BA"/>
    <w:rsid w:val="5F7669E7"/>
    <w:rsid w:val="5F7D678A"/>
    <w:rsid w:val="5F8067D3"/>
    <w:rsid w:val="5F822615"/>
    <w:rsid w:val="5F8D222A"/>
    <w:rsid w:val="5F8E72E8"/>
    <w:rsid w:val="5F9C1774"/>
    <w:rsid w:val="5FB52C88"/>
    <w:rsid w:val="5FB53A1A"/>
    <w:rsid w:val="5FB87DF9"/>
    <w:rsid w:val="5FB9A025"/>
    <w:rsid w:val="5FC35B9F"/>
    <w:rsid w:val="5FCC3F1F"/>
    <w:rsid w:val="5FD00248"/>
    <w:rsid w:val="5FD3347D"/>
    <w:rsid w:val="5FDD53B3"/>
    <w:rsid w:val="5FEB1B7B"/>
    <w:rsid w:val="5FF23595"/>
    <w:rsid w:val="6005151A"/>
    <w:rsid w:val="60093B52"/>
    <w:rsid w:val="6010496B"/>
    <w:rsid w:val="60162473"/>
    <w:rsid w:val="601C0D19"/>
    <w:rsid w:val="60236557"/>
    <w:rsid w:val="603315F8"/>
    <w:rsid w:val="6044515C"/>
    <w:rsid w:val="604873D4"/>
    <w:rsid w:val="604F4E8B"/>
    <w:rsid w:val="60507F1B"/>
    <w:rsid w:val="607A0F65"/>
    <w:rsid w:val="608012B5"/>
    <w:rsid w:val="60934D78"/>
    <w:rsid w:val="609840A1"/>
    <w:rsid w:val="60A06EAD"/>
    <w:rsid w:val="60BE5F5D"/>
    <w:rsid w:val="60C65FE6"/>
    <w:rsid w:val="60DE4622"/>
    <w:rsid w:val="60E46C08"/>
    <w:rsid w:val="60EC20C5"/>
    <w:rsid w:val="60FB01DC"/>
    <w:rsid w:val="610063AD"/>
    <w:rsid w:val="610B3085"/>
    <w:rsid w:val="611539DF"/>
    <w:rsid w:val="613100ED"/>
    <w:rsid w:val="61373B34"/>
    <w:rsid w:val="614A2973"/>
    <w:rsid w:val="614B5652"/>
    <w:rsid w:val="6156788B"/>
    <w:rsid w:val="61623D8F"/>
    <w:rsid w:val="616355F0"/>
    <w:rsid w:val="61656A51"/>
    <w:rsid w:val="616752DB"/>
    <w:rsid w:val="616B1851"/>
    <w:rsid w:val="61700D72"/>
    <w:rsid w:val="617F2AC5"/>
    <w:rsid w:val="6189763D"/>
    <w:rsid w:val="618A11EB"/>
    <w:rsid w:val="61933A90"/>
    <w:rsid w:val="61B54AD2"/>
    <w:rsid w:val="61C64CD9"/>
    <w:rsid w:val="61E20163"/>
    <w:rsid w:val="61E41603"/>
    <w:rsid w:val="61E60F09"/>
    <w:rsid w:val="61ED12FA"/>
    <w:rsid w:val="61FE1D96"/>
    <w:rsid w:val="620507D4"/>
    <w:rsid w:val="620C426A"/>
    <w:rsid w:val="620D2908"/>
    <w:rsid w:val="62126170"/>
    <w:rsid w:val="62143C96"/>
    <w:rsid w:val="62162CF2"/>
    <w:rsid w:val="622B1FF9"/>
    <w:rsid w:val="622E0BF6"/>
    <w:rsid w:val="623B3D0B"/>
    <w:rsid w:val="624E0417"/>
    <w:rsid w:val="625422E5"/>
    <w:rsid w:val="62582C10"/>
    <w:rsid w:val="625A1746"/>
    <w:rsid w:val="62613B2E"/>
    <w:rsid w:val="629758EA"/>
    <w:rsid w:val="629D1B83"/>
    <w:rsid w:val="62AD7C47"/>
    <w:rsid w:val="62BE3686"/>
    <w:rsid w:val="62C001B9"/>
    <w:rsid w:val="62C523B0"/>
    <w:rsid w:val="62C72801"/>
    <w:rsid w:val="62D46706"/>
    <w:rsid w:val="62EE6CF5"/>
    <w:rsid w:val="62F30D61"/>
    <w:rsid w:val="630369FA"/>
    <w:rsid w:val="6309270E"/>
    <w:rsid w:val="63163A3E"/>
    <w:rsid w:val="632717A7"/>
    <w:rsid w:val="632B74E9"/>
    <w:rsid w:val="63391447"/>
    <w:rsid w:val="634D6444"/>
    <w:rsid w:val="635527B8"/>
    <w:rsid w:val="63595483"/>
    <w:rsid w:val="635B5114"/>
    <w:rsid w:val="63670B36"/>
    <w:rsid w:val="636808A3"/>
    <w:rsid w:val="636809E1"/>
    <w:rsid w:val="636D2F6E"/>
    <w:rsid w:val="637D6CAE"/>
    <w:rsid w:val="639C18F4"/>
    <w:rsid w:val="63A625D4"/>
    <w:rsid w:val="63B63767"/>
    <w:rsid w:val="63B92EF4"/>
    <w:rsid w:val="63D07143"/>
    <w:rsid w:val="63D863F5"/>
    <w:rsid w:val="63DD2EBD"/>
    <w:rsid w:val="63DD5C62"/>
    <w:rsid w:val="63DF2D51"/>
    <w:rsid w:val="63EA7336"/>
    <w:rsid w:val="63ED0C43"/>
    <w:rsid w:val="63ED29F1"/>
    <w:rsid w:val="63F0603D"/>
    <w:rsid w:val="63F6752C"/>
    <w:rsid w:val="63FA52B9"/>
    <w:rsid w:val="64091A79"/>
    <w:rsid w:val="641D00AF"/>
    <w:rsid w:val="641E0590"/>
    <w:rsid w:val="642E1904"/>
    <w:rsid w:val="64312827"/>
    <w:rsid w:val="643D6FF1"/>
    <w:rsid w:val="645B2050"/>
    <w:rsid w:val="645B4ABD"/>
    <w:rsid w:val="64803865"/>
    <w:rsid w:val="648764A2"/>
    <w:rsid w:val="649647FD"/>
    <w:rsid w:val="64A32339"/>
    <w:rsid w:val="64AA51B5"/>
    <w:rsid w:val="64B03421"/>
    <w:rsid w:val="64B72EBA"/>
    <w:rsid w:val="64BA7A49"/>
    <w:rsid w:val="64C61940"/>
    <w:rsid w:val="64C704DE"/>
    <w:rsid w:val="64CC4691"/>
    <w:rsid w:val="64DA557F"/>
    <w:rsid w:val="64DD2A65"/>
    <w:rsid w:val="64E42632"/>
    <w:rsid w:val="64F67403"/>
    <w:rsid w:val="64FA78C8"/>
    <w:rsid w:val="651B351B"/>
    <w:rsid w:val="653D3F7B"/>
    <w:rsid w:val="653F303E"/>
    <w:rsid w:val="65454B7F"/>
    <w:rsid w:val="65455165"/>
    <w:rsid w:val="65491EA9"/>
    <w:rsid w:val="654A79CF"/>
    <w:rsid w:val="654F7706"/>
    <w:rsid w:val="65513EA4"/>
    <w:rsid w:val="65532D27"/>
    <w:rsid w:val="655A1441"/>
    <w:rsid w:val="655D2CDB"/>
    <w:rsid w:val="65601F34"/>
    <w:rsid w:val="65695331"/>
    <w:rsid w:val="656E7083"/>
    <w:rsid w:val="656E7A21"/>
    <w:rsid w:val="65717652"/>
    <w:rsid w:val="65767A70"/>
    <w:rsid w:val="657A7171"/>
    <w:rsid w:val="65847385"/>
    <w:rsid w:val="65BF03BD"/>
    <w:rsid w:val="65C65A9A"/>
    <w:rsid w:val="65D85E53"/>
    <w:rsid w:val="65DF7DB0"/>
    <w:rsid w:val="65E10333"/>
    <w:rsid w:val="65E73470"/>
    <w:rsid w:val="65E81062"/>
    <w:rsid w:val="65EE0CA2"/>
    <w:rsid w:val="66036B25"/>
    <w:rsid w:val="66042274"/>
    <w:rsid w:val="66081175"/>
    <w:rsid w:val="660B715E"/>
    <w:rsid w:val="66100C12"/>
    <w:rsid w:val="661E1A7B"/>
    <w:rsid w:val="6620560F"/>
    <w:rsid w:val="66226EC0"/>
    <w:rsid w:val="662B6A5A"/>
    <w:rsid w:val="662D1B66"/>
    <w:rsid w:val="662E25FC"/>
    <w:rsid w:val="66493732"/>
    <w:rsid w:val="66556445"/>
    <w:rsid w:val="667623B9"/>
    <w:rsid w:val="667F685C"/>
    <w:rsid w:val="66876CE5"/>
    <w:rsid w:val="668C0B60"/>
    <w:rsid w:val="66942985"/>
    <w:rsid w:val="66956714"/>
    <w:rsid w:val="66A01E2A"/>
    <w:rsid w:val="66A35C7B"/>
    <w:rsid w:val="66C37ED5"/>
    <w:rsid w:val="66D42B87"/>
    <w:rsid w:val="66D460EA"/>
    <w:rsid w:val="67003978"/>
    <w:rsid w:val="6710264E"/>
    <w:rsid w:val="671618D4"/>
    <w:rsid w:val="6732310A"/>
    <w:rsid w:val="67343F75"/>
    <w:rsid w:val="673E69C9"/>
    <w:rsid w:val="6741641A"/>
    <w:rsid w:val="674C2B76"/>
    <w:rsid w:val="67530DBD"/>
    <w:rsid w:val="679B344B"/>
    <w:rsid w:val="67B41968"/>
    <w:rsid w:val="67BD5F82"/>
    <w:rsid w:val="67D143D7"/>
    <w:rsid w:val="67D36A53"/>
    <w:rsid w:val="67DD4B2A"/>
    <w:rsid w:val="67E41806"/>
    <w:rsid w:val="67E7789B"/>
    <w:rsid w:val="67EC5332"/>
    <w:rsid w:val="67EE0913"/>
    <w:rsid w:val="67FB61E5"/>
    <w:rsid w:val="680406BF"/>
    <w:rsid w:val="680C4A16"/>
    <w:rsid w:val="68126ECA"/>
    <w:rsid w:val="681A4991"/>
    <w:rsid w:val="681E2C29"/>
    <w:rsid w:val="68263636"/>
    <w:rsid w:val="68352BB8"/>
    <w:rsid w:val="683A1692"/>
    <w:rsid w:val="68477836"/>
    <w:rsid w:val="68490412"/>
    <w:rsid w:val="68567149"/>
    <w:rsid w:val="6861575B"/>
    <w:rsid w:val="68616F41"/>
    <w:rsid w:val="686A67DD"/>
    <w:rsid w:val="686F60CA"/>
    <w:rsid w:val="687002AB"/>
    <w:rsid w:val="687562C1"/>
    <w:rsid w:val="687D4F85"/>
    <w:rsid w:val="687E630D"/>
    <w:rsid w:val="687E7E22"/>
    <w:rsid w:val="689942D0"/>
    <w:rsid w:val="68997F4C"/>
    <w:rsid w:val="68A41BCD"/>
    <w:rsid w:val="68BB30BE"/>
    <w:rsid w:val="68C006D4"/>
    <w:rsid w:val="68C5148F"/>
    <w:rsid w:val="68CF339E"/>
    <w:rsid w:val="68DC3F7F"/>
    <w:rsid w:val="68EA3CEC"/>
    <w:rsid w:val="68EE3032"/>
    <w:rsid w:val="68F304F4"/>
    <w:rsid w:val="68F640F6"/>
    <w:rsid w:val="68FA756E"/>
    <w:rsid w:val="68FE744E"/>
    <w:rsid w:val="6904102C"/>
    <w:rsid w:val="69076303"/>
    <w:rsid w:val="690B2E1D"/>
    <w:rsid w:val="69116906"/>
    <w:rsid w:val="69140C0F"/>
    <w:rsid w:val="691B51DB"/>
    <w:rsid w:val="69376664"/>
    <w:rsid w:val="69383C3E"/>
    <w:rsid w:val="693E3CEF"/>
    <w:rsid w:val="69407A67"/>
    <w:rsid w:val="69466DBE"/>
    <w:rsid w:val="69505623"/>
    <w:rsid w:val="69506D1F"/>
    <w:rsid w:val="6953779A"/>
    <w:rsid w:val="6958090C"/>
    <w:rsid w:val="695C1052"/>
    <w:rsid w:val="696B08ED"/>
    <w:rsid w:val="696D332C"/>
    <w:rsid w:val="69766D84"/>
    <w:rsid w:val="69780837"/>
    <w:rsid w:val="697809DE"/>
    <w:rsid w:val="697B04CD"/>
    <w:rsid w:val="698A47A4"/>
    <w:rsid w:val="698A7E99"/>
    <w:rsid w:val="699B3F0F"/>
    <w:rsid w:val="69A13FA7"/>
    <w:rsid w:val="69B31FE7"/>
    <w:rsid w:val="69C366F0"/>
    <w:rsid w:val="69C6217D"/>
    <w:rsid w:val="69C9001C"/>
    <w:rsid w:val="69CE221E"/>
    <w:rsid w:val="69DF47C8"/>
    <w:rsid w:val="69E60CAD"/>
    <w:rsid w:val="69F07B5F"/>
    <w:rsid w:val="69F30635"/>
    <w:rsid w:val="6A1750C1"/>
    <w:rsid w:val="6A177B3C"/>
    <w:rsid w:val="6A1A6915"/>
    <w:rsid w:val="6A214B0E"/>
    <w:rsid w:val="6A276531"/>
    <w:rsid w:val="6A366774"/>
    <w:rsid w:val="6A3B4C65"/>
    <w:rsid w:val="6A494F46"/>
    <w:rsid w:val="6A5437CA"/>
    <w:rsid w:val="6A5C4E42"/>
    <w:rsid w:val="6A771C8C"/>
    <w:rsid w:val="6A7E0847"/>
    <w:rsid w:val="6AA70623"/>
    <w:rsid w:val="6AC45F1D"/>
    <w:rsid w:val="6ACE472D"/>
    <w:rsid w:val="6AD151F4"/>
    <w:rsid w:val="6AD541DF"/>
    <w:rsid w:val="6AD6501A"/>
    <w:rsid w:val="6ADF1DB2"/>
    <w:rsid w:val="6AE22E62"/>
    <w:rsid w:val="6AF66D9D"/>
    <w:rsid w:val="6B044B94"/>
    <w:rsid w:val="6B2111D2"/>
    <w:rsid w:val="6B250CC2"/>
    <w:rsid w:val="6B272A3A"/>
    <w:rsid w:val="6B29591C"/>
    <w:rsid w:val="6B2A64E8"/>
    <w:rsid w:val="6B2D2481"/>
    <w:rsid w:val="6B363A13"/>
    <w:rsid w:val="6B514C55"/>
    <w:rsid w:val="6B526F9E"/>
    <w:rsid w:val="6B576D20"/>
    <w:rsid w:val="6B5D36FB"/>
    <w:rsid w:val="6B64759D"/>
    <w:rsid w:val="6B673A76"/>
    <w:rsid w:val="6B6B6C72"/>
    <w:rsid w:val="6B717729"/>
    <w:rsid w:val="6B813666"/>
    <w:rsid w:val="6B8BD160"/>
    <w:rsid w:val="6B8E6254"/>
    <w:rsid w:val="6B9B6D2F"/>
    <w:rsid w:val="6BA555B7"/>
    <w:rsid w:val="6BAB6E72"/>
    <w:rsid w:val="6BE60DC5"/>
    <w:rsid w:val="6BF424C6"/>
    <w:rsid w:val="6BF43E89"/>
    <w:rsid w:val="6BF863D7"/>
    <w:rsid w:val="6BF95CAB"/>
    <w:rsid w:val="6BFD80A7"/>
    <w:rsid w:val="6BFDF152"/>
    <w:rsid w:val="6C077FE9"/>
    <w:rsid w:val="6C0C0DEB"/>
    <w:rsid w:val="6C0E1F55"/>
    <w:rsid w:val="6C100957"/>
    <w:rsid w:val="6C103720"/>
    <w:rsid w:val="6C180827"/>
    <w:rsid w:val="6C281E78"/>
    <w:rsid w:val="6C2E0159"/>
    <w:rsid w:val="6C375151"/>
    <w:rsid w:val="6C4336D6"/>
    <w:rsid w:val="6C4E249B"/>
    <w:rsid w:val="6C53360D"/>
    <w:rsid w:val="6C536E1C"/>
    <w:rsid w:val="6C555DF8"/>
    <w:rsid w:val="6C5F0204"/>
    <w:rsid w:val="6C761A2B"/>
    <w:rsid w:val="6C7D68DC"/>
    <w:rsid w:val="6C920694"/>
    <w:rsid w:val="6C937EAD"/>
    <w:rsid w:val="6C950229"/>
    <w:rsid w:val="6C9C1458"/>
    <w:rsid w:val="6CA5227D"/>
    <w:rsid w:val="6CB13791"/>
    <w:rsid w:val="6CB23E44"/>
    <w:rsid w:val="6CC20C29"/>
    <w:rsid w:val="6CC42C7A"/>
    <w:rsid w:val="6CD850D0"/>
    <w:rsid w:val="6CDB2D18"/>
    <w:rsid w:val="6CDC3CF0"/>
    <w:rsid w:val="6CDE737B"/>
    <w:rsid w:val="6CE02047"/>
    <w:rsid w:val="6CF879B6"/>
    <w:rsid w:val="6CFF334E"/>
    <w:rsid w:val="6D0659F9"/>
    <w:rsid w:val="6D0B50F2"/>
    <w:rsid w:val="6D0C32F9"/>
    <w:rsid w:val="6D21545B"/>
    <w:rsid w:val="6D227A49"/>
    <w:rsid w:val="6D430958"/>
    <w:rsid w:val="6D441F9F"/>
    <w:rsid w:val="6D471ED2"/>
    <w:rsid w:val="6D6012D3"/>
    <w:rsid w:val="6D6367E9"/>
    <w:rsid w:val="6D6C0E2A"/>
    <w:rsid w:val="6D7827F0"/>
    <w:rsid w:val="6D853C9A"/>
    <w:rsid w:val="6D877A12"/>
    <w:rsid w:val="6D9A6441"/>
    <w:rsid w:val="6D9CCD64"/>
    <w:rsid w:val="6D9D5BEC"/>
    <w:rsid w:val="6DA56D07"/>
    <w:rsid w:val="6DBA02B8"/>
    <w:rsid w:val="6DBB76BC"/>
    <w:rsid w:val="6DBC34C8"/>
    <w:rsid w:val="6DCE53C5"/>
    <w:rsid w:val="6DD64BFD"/>
    <w:rsid w:val="6DFF36BD"/>
    <w:rsid w:val="6E0F4A6C"/>
    <w:rsid w:val="6E1A0886"/>
    <w:rsid w:val="6E2D2EB7"/>
    <w:rsid w:val="6E3A1B1A"/>
    <w:rsid w:val="6E494C3B"/>
    <w:rsid w:val="6E5D5BE5"/>
    <w:rsid w:val="6E647E45"/>
    <w:rsid w:val="6E654DF6"/>
    <w:rsid w:val="6E712F57"/>
    <w:rsid w:val="6E7355B6"/>
    <w:rsid w:val="6E777A87"/>
    <w:rsid w:val="6E7D2BC3"/>
    <w:rsid w:val="6E810650"/>
    <w:rsid w:val="6E8C2E06"/>
    <w:rsid w:val="6E940477"/>
    <w:rsid w:val="6E9F0E3C"/>
    <w:rsid w:val="6EA3670A"/>
    <w:rsid w:val="6EBB78D1"/>
    <w:rsid w:val="6ECC6C99"/>
    <w:rsid w:val="6EDF0AA6"/>
    <w:rsid w:val="6EE02CCC"/>
    <w:rsid w:val="6EE311C4"/>
    <w:rsid w:val="6EE6189A"/>
    <w:rsid w:val="6EED5551"/>
    <w:rsid w:val="6EEE5718"/>
    <w:rsid w:val="6EFDA9CF"/>
    <w:rsid w:val="6F0C2F91"/>
    <w:rsid w:val="6F174DC6"/>
    <w:rsid w:val="6F196B87"/>
    <w:rsid w:val="6F1A5C26"/>
    <w:rsid w:val="6F1E744C"/>
    <w:rsid w:val="6F227BC0"/>
    <w:rsid w:val="6F2B25FC"/>
    <w:rsid w:val="6F3E05A4"/>
    <w:rsid w:val="6F435BBB"/>
    <w:rsid w:val="6F5F3C10"/>
    <w:rsid w:val="6F667AFB"/>
    <w:rsid w:val="6F672C14"/>
    <w:rsid w:val="6F6D2B03"/>
    <w:rsid w:val="6F7A740B"/>
    <w:rsid w:val="6F7B23A2"/>
    <w:rsid w:val="6F94626F"/>
    <w:rsid w:val="6F996DC4"/>
    <w:rsid w:val="6F9E3748"/>
    <w:rsid w:val="6FAB3AA4"/>
    <w:rsid w:val="6FBA6851"/>
    <w:rsid w:val="6FC02275"/>
    <w:rsid w:val="6FC82972"/>
    <w:rsid w:val="6FCE48FF"/>
    <w:rsid w:val="6FCF5707"/>
    <w:rsid w:val="6FD26F3F"/>
    <w:rsid w:val="6FEC475D"/>
    <w:rsid w:val="6FF8664C"/>
    <w:rsid w:val="6FFFAE24"/>
    <w:rsid w:val="70065D98"/>
    <w:rsid w:val="70104F7C"/>
    <w:rsid w:val="7014089D"/>
    <w:rsid w:val="7020414E"/>
    <w:rsid w:val="7036571F"/>
    <w:rsid w:val="7040644A"/>
    <w:rsid w:val="704219E1"/>
    <w:rsid w:val="70423FD9"/>
    <w:rsid w:val="70441BEA"/>
    <w:rsid w:val="70480FAF"/>
    <w:rsid w:val="7057124B"/>
    <w:rsid w:val="705A17F8"/>
    <w:rsid w:val="705D08A7"/>
    <w:rsid w:val="705D6F5A"/>
    <w:rsid w:val="70625E58"/>
    <w:rsid w:val="706406DD"/>
    <w:rsid w:val="707B4851"/>
    <w:rsid w:val="707D2EED"/>
    <w:rsid w:val="708C551A"/>
    <w:rsid w:val="709541F4"/>
    <w:rsid w:val="709D0EE7"/>
    <w:rsid w:val="70A1703D"/>
    <w:rsid w:val="70D42BE2"/>
    <w:rsid w:val="70E36CC9"/>
    <w:rsid w:val="70EC5DDE"/>
    <w:rsid w:val="70F82FA7"/>
    <w:rsid w:val="70FA4404"/>
    <w:rsid w:val="70FB534E"/>
    <w:rsid w:val="71053412"/>
    <w:rsid w:val="710B4B8D"/>
    <w:rsid w:val="710E3B2D"/>
    <w:rsid w:val="711E1FB0"/>
    <w:rsid w:val="712F09F4"/>
    <w:rsid w:val="714C7C62"/>
    <w:rsid w:val="715B74CF"/>
    <w:rsid w:val="71612B50"/>
    <w:rsid w:val="71657728"/>
    <w:rsid w:val="718F158B"/>
    <w:rsid w:val="71996AC6"/>
    <w:rsid w:val="71B354E5"/>
    <w:rsid w:val="71B457F4"/>
    <w:rsid w:val="71BB8992"/>
    <w:rsid w:val="71DE7016"/>
    <w:rsid w:val="71DF766A"/>
    <w:rsid w:val="71E253BF"/>
    <w:rsid w:val="71E60799"/>
    <w:rsid w:val="71EB6961"/>
    <w:rsid w:val="71F55FD8"/>
    <w:rsid w:val="71F85B6D"/>
    <w:rsid w:val="720E436E"/>
    <w:rsid w:val="720F7FD6"/>
    <w:rsid w:val="721B2E1F"/>
    <w:rsid w:val="72250076"/>
    <w:rsid w:val="72301E5B"/>
    <w:rsid w:val="7238635A"/>
    <w:rsid w:val="724817EE"/>
    <w:rsid w:val="724F304D"/>
    <w:rsid w:val="72512795"/>
    <w:rsid w:val="727C3957"/>
    <w:rsid w:val="72924554"/>
    <w:rsid w:val="729E49A8"/>
    <w:rsid w:val="72A254BD"/>
    <w:rsid w:val="72B50B7E"/>
    <w:rsid w:val="72BC2850"/>
    <w:rsid w:val="72BD2C86"/>
    <w:rsid w:val="72C726E5"/>
    <w:rsid w:val="72EC194C"/>
    <w:rsid w:val="72F01BB6"/>
    <w:rsid w:val="72F35CE0"/>
    <w:rsid w:val="72F752F4"/>
    <w:rsid w:val="72FF0B68"/>
    <w:rsid w:val="7304782F"/>
    <w:rsid w:val="73061266"/>
    <w:rsid w:val="73131F38"/>
    <w:rsid w:val="73243F55"/>
    <w:rsid w:val="73261311"/>
    <w:rsid w:val="73267CCD"/>
    <w:rsid w:val="732E3C34"/>
    <w:rsid w:val="732F38FE"/>
    <w:rsid w:val="73345814"/>
    <w:rsid w:val="734D7008"/>
    <w:rsid w:val="734F079E"/>
    <w:rsid w:val="7363682B"/>
    <w:rsid w:val="736507F6"/>
    <w:rsid w:val="736D1AFC"/>
    <w:rsid w:val="73937BEA"/>
    <w:rsid w:val="73950A7C"/>
    <w:rsid w:val="73AF7CC3"/>
    <w:rsid w:val="73BB6668"/>
    <w:rsid w:val="73C22D75"/>
    <w:rsid w:val="73DB8857"/>
    <w:rsid w:val="73DE16B1"/>
    <w:rsid w:val="73E56614"/>
    <w:rsid w:val="73FA20B1"/>
    <w:rsid w:val="7401022B"/>
    <w:rsid w:val="74031DBD"/>
    <w:rsid w:val="74077FCD"/>
    <w:rsid w:val="740B209D"/>
    <w:rsid w:val="74111588"/>
    <w:rsid w:val="741B5358"/>
    <w:rsid w:val="74201629"/>
    <w:rsid w:val="74204819"/>
    <w:rsid w:val="74273CFD"/>
    <w:rsid w:val="74290C56"/>
    <w:rsid w:val="74302426"/>
    <w:rsid w:val="743B0A0C"/>
    <w:rsid w:val="744037A8"/>
    <w:rsid w:val="7447551A"/>
    <w:rsid w:val="744D71AF"/>
    <w:rsid w:val="74555354"/>
    <w:rsid w:val="745F3A75"/>
    <w:rsid w:val="746A7CD9"/>
    <w:rsid w:val="7475332E"/>
    <w:rsid w:val="747D1B6F"/>
    <w:rsid w:val="74981B5A"/>
    <w:rsid w:val="749D6164"/>
    <w:rsid w:val="74A82061"/>
    <w:rsid w:val="74C81749"/>
    <w:rsid w:val="74CC68E0"/>
    <w:rsid w:val="74CE0A9B"/>
    <w:rsid w:val="74CF1C9F"/>
    <w:rsid w:val="74DD5500"/>
    <w:rsid w:val="74E25244"/>
    <w:rsid w:val="74E81926"/>
    <w:rsid w:val="74FB3256"/>
    <w:rsid w:val="75076C79"/>
    <w:rsid w:val="75091676"/>
    <w:rsid w:val="75116A6C"/>
    <w:rsid w:val="7528018D"/>
    <w:rsid w:val="752925FC"/>
    <w:rsid w:val="75436915"/>
    <w:rsid w:val="754601B3"/>
    <w:rsid w:val="7551025F"/>
    <w:rsid w:val="75583A65"/>
    <w:rsid w:val="757418C6"/>
    <w:rsid w:val="757B8CBE"/>
    <w:rsid w:val="757E6FDC"/>
    <w:rsid w:val="7596618A"/>
    <w:rsid w:val="75A64D45"/>
    <w:rsid w:val="75B4357D"/>
    <w:rsid w:val="75B74C0D"/>
    <w:rsid w:val="75BE4F19"/>
    <w:rsid w:val="75D605CB"/>
    <w:rsid w:val="75E63448"/>
    <w:rsid w:val="75F6645E"/>
    <w:rsid w:val="75F708A8"/>
    <w:rsid w:val="75F920DA"/>
    <w:rsid w:val="75FF60A3"/>
    <w:rsid w:val="760D23F9"/>
    <w:rsid w:val="761653E0"/>
    <w:rsid w:val="76286F0E"/>
    <w:rsid w:val="762A3631"/>
    <w:rsid w:val="76363F76"/>
    <w:rsid w:val="76371C9A"/>
    <w:rsid w:val="76377AFB"/>
    <w:rsid w:val="7645046A"/>
    <w:rsid w:val="764979AE"/>
    <w:rsid w:val="764D111C"/>
    <w:rsid w:val="7658153B"/>
    <w:rsid w:val="76623268"/>
    <w:rsid w:val="76755BDE"/>
    <w:rsid w:val="767A4573"/>
    <w:rsid w:val="76912812"/>
    <w:rsid w:val="76941CCF"/>
    <w:rsid w:val="76A00BD8"/>
    <w:rsid w:val="76A1185A"/>
    <w:rsid w:val="76A139A3"/>
    <w:rsid w:val="76A20D91"/>
    <w:rsid w:val="76AF0906"/>
    <w:rsid w:val="76B64EC4"/>
    <w:rsid w:val="76C02894"/>
    <w:rsid w:val="76C13C0E"/>
    <w:rsid w:val="76D0242A"/>
    <w:rsid w:val="76D35A76"/>
    <w:rsid w:val="76D77EFA"/>
    <w:rsid w:val="76EC46EF"/>
    <w:rsid w:val="76F61765"/>
    <w:rsid w:val="76F6483E"/>
    <w:rsid w:val="76F738C2"/>
    <w:rsid w:val="77120F85"/>
    <w:rsid w:val="77163BB5"/>
    <w:rsid w:val="77183DD1"/>
    <w:rsid w:val="772FFD04"/>
    <w:rsid w:val="7732F158"/>
    <w:rsid w:val="7740193F"/>
    <w:rsid w:val="77405256"/>
    <w:rsid w:val="7746498A"/>
    <w:rsid w:val="77526E0C"/>
    <w:rsid w:val="776841F1"/>
    <w:rsid w:val="7771703D"/>
    <w:rsid w:val="7773D79D"/>
    <w:rsid w:val="77805CF0"/>
    <w:rsid w:val="778A0776"/>
    <w:rsid w:val="778E5DF7"/>
    <w:rsid w:val="778F0422"/>
    <w:rsid w:val="778F7DB3"/>
    <w:rsid w:val="77911BDB"/>
    <w:rsid w:val="77957A74"/>
    <w:rsid w:val="77985B42"/>
    <w:rsid w:val="779DDAE7"/>
    <w:rsid w:val="77C56F71"/>
    <w:rsid w:val="77D602C6"/>
    <w:rsid w:val="77DE32D5"/>
    <w:rsid w:val="77E17D9F"/>
    <w:rsid w:val="77EC24AD"/>
    <w:rsid w:val="77F03269"/>
    <w:rsid w:val="77F46728"/>
    <w:rsid w:val="77F5637A"/>
    <w:rsid w:val="77FB3F92"/>
    <w:rsid w:val="78083DCF"/>
    <w:rsid w:val="780B7492"/>
    <w:rsid w:val="780F1BD2"/>
    <w:rsid w:val="78290C44"/>
    <w:rsid w:val="78574D43"/>
    <w:rsid w:val="785B52D1"/>
    <w:rsid w:val="786A124A"/>
    <w:rsid w:val="786BA8DC"/>
    <w:rsid w:val="787B510B"/>
    <w:rsid w:val="788039DC"/>
    <w:rsid w:val="788830A0"/>
    <w:rsid w:val="788D6FF6"/>
    <w:rsid w:val="78910924"/>
    <w:rsid w:val="78930332"/>
    <w:rsid w:val="78A05A98"/>
    <w:rsid w:val="78A3591C"/>
    <w:rsid w:val="78C352A8"/>
    <w:rsid w:val="78C41F08"/>
    <w:rsid w:val="78C5635F"/>
    <w:rsid w:val="78C9374B"/>
    <w:rsid w:val="78C96A2A"/>
    <w:rsid w:val="78D9682B"/>
    <w:rsid w:val="78DA631E"/>
    <w:rsid w:val="78DC0CB7"/>
    <w:rsid w:val="78E34625"/>
    <w:rsid w:val="78FB2838"/>
    <w:rsid w:val="790A4F61"/>
    <w:rsid w:val="790D5618"/>
    <w:rsid w:val="7910588B"/>
    <w:rsid w:val="791D4B14"/>
    <w:rsid w:val="791D5233"/>
    <w:rsid w:val="792613EA"/>
    <w:rsid w:val="793307C0"/>
    <w:rsid w:val="794048F3"/>
    <w:rsid w:val="795B2F41"/>
    <w:rsid w:val="79613200"/>
    <w:rsid w:val="79626B52"/>
    <w:rsid w:val="796E3777"/>
    <w:rsid w:val="79703A50"/>
    <w:rsid w:val="79711576"/>
    <w:rsid w:val="79770FDE"/>
    <w:rsid w:val="797F4557"/>
    <w:rsid w:val="798F185D"/>
    <w:rsid w:val="79960FDD"/>
    <w:rsid w:val="79991D8E"/>
    <w:rsid w:val="79BB22F4"/>
    <w:rsid w:val="79BB48AD"/>
    <w:rsid w:val="79BD50DA"/>
    <w:rsid w:val="79BDBBC0"/>
    <w:rsid w:val="79C37EFD"/>
    <w:rsid w:val="79D57D57"/>
    <w:rsid w:val="79D7587D"/>
    <w:rsid w:val="79D76317"/>
    <w:rsid w:val="79DF5F0A"/>
    <w:rsid w:val="79E40814"/>
    <w:rsid w:val="79F35DE6"/>
    <w:rsid w:val="79F53B64"/>
    <w:rsid w:val="7A081773"/>
    <w:rsid w:val="7A1F7ECA"/>
    <w:rsid w:val="7A24579D"/>
    <w:rsid w:val="7A344A7E"/>
    <w:rsid w:val="7A395D16"/>
    <w:rsid w:val="7A5B293A"/>
    <w:rsid w:val="7A6B791C"/>
    <w:rsid w:val="7A790E5C"/>
    <w:rsid w:val="7A8A0DB8"/>
    <w:rsid w:val="7AA114BD"/>
    <w:rsid w:val="7AAC08C3"/>
    <w:rsid w:val="7AAE246F"/>
    <w:rsid w:val="7AC43041"/>
    <w:rsid w:val="7ADB6915"/>
    <w:rsid w:val="7ADFAE39"/>
    <w:rsid w:val="7AE33563"/>
    <w:rsid w:val="7AE7699C"/>
    <w:rsid w:val="7AED020F"/>
    <w:rsid w:val="7AED581A"/>
    <w:rsid w:val="7AF8796C"/>
    <w:rsid w:val="7AFB559C"/>
    <w:rsid w:val="7AFD6F0E"/>
    <w:rsid w:val="7B140429"/>
    <w:rsid w:val="7B2B16F3"/>
    <w:rsid w:val="7B333BF2"/>
    <w:rsid w:val="7B4A5B68"/>
    <w:rsid w:val="7B4B2B46"/>
    <w:rsid w:val="7B5FA800"/>
    <w:rsid w:val="7B993C88"/>
    <w:rsid w:val="7BA06143"/>
    <w:rsid w:val="7BAB3D16"/>
    <w:rsid w:val="7BB309E9"/>
    <w:rsid w:val="7BB8348D"/>
    <w:rsid w:val="7BC462D5"/>
    <w:rsid w:val="7BCD865C"/>
    <w:rsid w:val="7BDD48D8"/>
    <w:rsid w:val="7BE35E80"/>
    <w:rsid w:val="7BEC1388"/>
    <w:rsid w:val="7BF5023D"/>
    <w:rsid w:val="7BF7341F"/>
    <w:rsid w:val="7BFA0C7A"/>
    <w:rsid w:val="7BFABA2E"/>
    <w:rsid w:val="7BFD8166"/>
    <w:rsid w:val="7BFFAB5F"/>
    <w:rsid w:val="7BFFBE5E"/>
    <w:rsid w:val="7C02295A"/>
    <w:rsid w:val="7C0B180E"/>
    <w:rsid w:val="7C1958C0"/>
    <w:rsid w:val="7C2625DC"/>
    <w:rsid w:val="7C286D9F"/>
    <w:rsid w:val="7C3B7382"/>
    <w:rsid w:val="7C4450E9"/>
    <w:rsid w:val="7C501917"/>
    <w:rsid w:val="7C723BCA"/>
    <w:rsid w:val="7C8021FC"/>
    <w:rsid w:val="7C9176A1"/>
    <w:rsid w:val="7C936D21"/>
    <w:rsid w:val="7C9521AA"/>
    <w:rsid w:val="7C9D46F4"/>
    <w:rsid w:val="7CA1746F"/>
    <w:rsid w:val="7CBF0890"/>
    <w:rsid w:val="7CC51487"/>
    <w:rsid w:val="7CDFC4FF"/>
    <w:rsid w:val="7CE33FC3"/>
    <w:rsid w:val="7CEFE573"/>
    <w:rsid w:val="7CF13860"/>
    <w:rsid w:val="7CF7109A"/>
    <w:rsid w:val="7CF72967"/>
    <w:rsid w:val="7CF72D58"/>
    <w:rsid w:val="7CFC19BB"/>
    <w:rsid w:val="7CFEA865"/>
    <w:rsid w:val="7D142945"/>
    <w:rsid w:val="7D181C0C"/>
    <w:rsid w:val="7D23793E"/>
    <w:rsid w:val="7D254A84"/>
    <w:rsid w:val="7D312099"/>
    <w:rsid w:val="7D363315"/>
    <w:rsid w:val="7D723DB3"/>
    <w:rsid w:val="7D767AC5"/>
    <w:rsid w:val="7D7929EA"/>
    <w:rsid w:val="7D7F781D"/>
    <w:rsid w:val="7D823D52"/>
    <w:rsid w:val="7D9F3578"/>
    <w:rsid w:val="7DA54E72"/>
    <w:rsid w:val="7DAC69B0"/>
    <w:rsid w:val="7DAF724C"/>
    <w:rsid w:val="7DB52546"/>
    <w:rsid w:val="7DBB1A58"/>
    <w:rsid w:val="7DC223A1"/>
    <w:rsid w:val="7DD00A7F"/>
    <w:rsid w:val="7DD077CC"/>
    <w:rsid w:val="7DD30A52"/>
    <w:rsid w:val="7DD575BE"/>
    <w:rsid w:val="7DE645D8"/>
    <w:rsid w:val="7DE753C1"/>
    <w:rsid w:val="7DE763BD"/>
    <w:rsid w:val="7DF37173"/>
    <w:rsid w:val="7DFA2A02"/>
    <w:rsid w:val="7E087D35"/>
    <w:rsid w:val="7E0E49F3"/>
    <w:rsid w:val="7E281BDC"/>
    <w:rsid w:val="7E2D0162"/>
    <w:rsid w:val="7E2E5840"/>
    <w:rsid w:val="7E362DA7"/>
    <w:rsid w:val="7E482253"/>
    <w:rsid w:val="7E484F9C"/>
    <w:rsid w:val="7E4E417E"/>
    <w:rsid w:val="7E5A082B"/>
    <w:rsid w:val="7E5B725F"/>
    <w:rsid w:val="7E604FC3"/>
    <w:rsid w:val="7E6F4225"/>
    <w:rsid w:val="7E711C50"/>
    <w:rsid w:val="7E730988"/>
    <w:rsid w:val="7E76315A"/>
    <w:rsid w:val="7E7A048A"/>
    <w:rsid w:val="7E7F72D2"/>
    <w:rsid w:val="7E952601"/>
    <w:rsid w:val="7E9A1DF2"/>
    <w:rsid w:val="7E9B7416"/>
    <w:rsid w:val="7E9D2519"/>
    <w:rsid w:val="7E9E2899"/>
    <w:rsid w:val="7E9F0880"/>
    <w:rsid w:val="7EAC2336"/>
    <w:rsid w:val="7EB02B41"/>
    <w:rsid w:val="7EB23269"/>
    <w:rsid w:val="7EBF165C"/>
    <w:rsid w:val="7EC51355"/>
    <w:rsid w:val="7ECFE303"/>
    <w:rsid w:val="7ED029A4"/>
    <w:rsid w:val="7EDC3FFE"/>
    <w:rsid w:val="7EE94270"/>
    <w:rsid w:val="7EEF71C5"/>
    <w:rsid w:val="7EF7ECF7"/>
    <w:rsid w:val="7EFE759D"/>
    <w:rsid w:val="7EFE7949"/>
    <w:rsid w:val="7F045B71"/>
    <w:rsid w:val="7F2420B4"/>
    <w:rsid w:val="7F253C46"/>
    <w:rsid w:val="7F3E69AE"/>
    <w:rsid w:val="7F3F55CF"/>
    <w:rsid w:val="7F4E1EDE"/>
    <w:rsid w:val="7F601682"/>
    <w:rsid w:val="7F625BE9"/>
    <w:rsid w:val="7F7754B8"/>
    <w:rsid w:val="7F7973D7"/>
    <w:rsid w:val="7F7E2133"/>
    <w:rsid w:val="7F7E214A"/>
    <w:rsid w:val="7F7FE396"/>
    <w:rsid w:val="7FA540C7"/>
    <w:rsid w:val="7FA81EFB"/>
    <w:rsid w:val="7FBA7AAC"/>
    <w:rsid w:val="7FBBA65C"/>
    <w:rsid w:val="7FCB1818"/>
    <w:rsid w:val="7FD65ED7"/>
    <w:rsid w:val="7FE02435"/>
    <w:rsid w:val="7FE79D81"/>
    <w:rsid w:val="7FF404A3"/>
    <w:rsid w:val="7FF4717D"/>
    <w:rsid w:val="7FF73220"/>
    <w:rsid w:val="7FFB0E1F"/>
    <w:rsid w:val="7FFD299D"/>
    <w:rsid w:val="7FFFD16D"/>
    <w:rsid w:val="8B936500"/>
    <w:rsid w:val="8BFA1299"/>
    <w:rsid w:val="8EFB8EA5"/>
    <w:rsid w:val="957B6ECE"/>
    <w:rsid w:val="97FF9DB5"/>
    <w:rsid w:val="9BE7253D"/>
    <w:rsid w:val="9E7B6E1D"/>
    <w:rsid w:val="9F97A2C5"/>
    <w:rsid w:val="9FFE36F5"/>
    <w:rsid w:val="AB759125"/>
    <w:rsid w:val="AB88E759"/>
    <w:rsid w:val="ABFF1B07"/>
    <w:rsid w:val="AC3B5F5F"/>
    <w:rsid w:val="ADB7295D"/>
    <w:rsid w:val="AEEBFAF1"/>
    <w:rsid w:val="AFFE12B5"/>
    <w:rsid w:val="B0BF610A"/>
    <w:rsid w:val="B17448FC"/>
    <w:rsid w:val="B79FC462"/>
    <w:rsid w:val="BCB528D0"/>
    <w:rsid w:val="BDF95663"/>
    <w:rsid w:val="BE7F6D38"/>
    <w:rsid w:val="BEBE0140"/>
    <w:rsid w:val="BEC4D3B6"/>
    <w:rsid w:val="BF7B3D2F"/>
    <w:rsid w:val="BFA68D2B"/>
    <w:rsid w:val="BFD4C9C7"/>
    <w:rsid w:val="BFD8A62D"/>
    <w:rsid w:val="BFEAC5FF"/>
    <w:rsid w:val="C7EE81E5"/>
    <w:rsid w:val="CD16F492"/>
    <w:rsid w:val="CDFF1BB4"/>
    <w:rsid w:val="CF97B970"/>
    <w:rsid w:val="CFB34365"/>
    <w:rsid w:val="CFFF2F22"/>
    <w:rsid w:val="D2554B1F"/>
    <w:rsid w:val="D3EFFD60"/>
    <w:rsid w:val="D7874217"/>
    <w:rsid w:val="D7FF5ABE"/>
    <w:rsid w:val="D7FFC093"/>
    <w:rsid w:val="D9EF3531"/>
    <w:rsid w:val="DC7EF7C4"/>
    <w:rsid w:val="DD1DD64C"/>
    <w:rsid w:val="DF338446"/>
    <w:rsid w:val="DF6FE38F"/>
    <w:rsid w:val="DF7E827D"/>
    <w:rsid w:val="E153B7DE"/>
    <w:rsid w:val="EB7D98F9"/>
    <w:rsid w:val="EBF8BFCF"/>
    <w:rsid w:val="EBFD53CE"/>
    <w:rsid w:val="EDF7FD70"/>
    <w:rsid w:val="EEDD373F"/>
    <w:rsid w:val="EF3F7F42"/>
    <w:rsid w:val="EF5D4331"/>
    <w:rsid w:val="EF77197D"/>
    <w:rsid w:val="EF9456C5"/>
    <w:rsid w:val="EF996D35"/>
    <w:rsid w:val="EFFD8319"/>
    <w:rsid w:val="EFFDFC7C"/>
    <w:rsid w:val="F35FBF91"/>
    <w:rsid w:val="F3FDB288"/>
    <w:rsid w:val="F53DBE0C"/>
    <w:rsid w:val="F6F7444E"/>
    <w:rsid w:val="F76FDDB1"/>
    <w:rsid w:val="F77D91DD"/>
    <w:rsid w:val="F7BD2500"/>
    <w:rsid w:val="F7EC5FBC"/>
    <w:rsid w:val="F7F3EB36"/>
    <w:rsid w:val="F7FF2F31"/>
    <w:rsid w:val="F9CB5202"/>
    <w:rsid w:val="FA7BFEB8"/>
    <w:rsid w:val="FB3F6394"/>
    <w:rsid w:val="FB56519C"/>
    <w:rsid w:val="FB7FEB3D"/>
    <w:rsid w:val="FB9F7470"/>
    <w:rsid w:val="FBDFD9D1"/>
    <w:rsid w:val="FBE68F26"/>
    <w:rsid w:val="FBF7ED8B"/>
    <w:rsid w:val="FBFFBAF7"/>
    <w:rsid w:val="FCEA89C4"/>
    <w:rsid w:val="FD46AEEE"/>
    <w:rsid w:val="FD7F110F"/>
    <w:rsid w:val="FDAF9022"/>
    <w:rsid w:val="FDB51DA4"/>
    <w:rsid w:val="FDDF3645"/>
    <w:rsid w:val="FDEB7B4F"/>
    <w:rsid w:val="FE2BC9A9"/>
    <w:rsid w:val="FE69747A"/>
    <w:rsid w:val="FE7E6469"/>
    <w:rsid w:val="FEB7059A"/>
    <w:rsid w:val="FECB7864"/>
    <w:rsid w:val="FEDD2340"/>
    <w:rsid w:val="FEE66429"/>
    <w:rsid w:val="FEEDAF76"/>
    <w:rsid w:val="FF0F2F5C"/>
    <w:rsid w:val="FF66E26D"/>
    <w:rsid w:val="FF6F1F12"/>
    <w:rsid w:val="FF6F4FE1"/>
    <w:rsid w:val="FF7F72DC"/>
    <w:rsid w:val="FFB5654E"/>
    <w:rsid w:val="FFBBE5DC"/>
    <w:rsid w:val="FFBFC24B"/>
    <w:rsid w:val="FFCB1C7E"/>
    <w:rsid w:val="FFEFCDFF"/>
    <w:rsid w:val="FFF449C1"/>
    <w:rsid w:val="FFF55810"/>
    <w:rsid w:val="FFF6586E"/>
    <w:rsid w:val="FFFAC0D4"/>
    <w:rsid w:val="FFFFC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snapToGrid w:val="0"/>
      <w:spacing w:line="579" w:lineRule="exact"/>
      <w:ind w:firstLine="640" w:firstLineChars="200"/>
      <w:jc w:val="both"/>
    </w:pPr>
    <w:rPr>
      <w:rFonts w:ascii="仿宋_GB2312" w:hAnsi="仿宋_GB2312" w:eastAsia="仿宋_GB2312" w:cstheme="minorBidi"/>
      <w:kern w:val="2"/>
      <w:sz w:val="32"/>
      <w:szCs w:val="22"/>
      <w:lang w:val="en-US" w:eastAsia="zh-CN" w:bidi="ar-SA"/>
    </w:rPr>
  </w:style>
  <w:style w:type="paragraph" w:styleId="3">
    <w:name w:val="heading 1"/>
    <w:basedOn w:val="1"/>
    <w:next w:val="1"/>
    <w:link w:val="21"/>
    <w:qFormat/>
    <w:uiPriority w:val="9"/>
    <w:pPr>
      <w:keepNext/>
      <w:keepLines/>
      <w:spacing w:before="0" w:after="0" w:line="560" w:lineRule="exact"/>
      <w:ind w:firstLine="640" w:firstLineChars="200"/>
      <w:outlineLvl w:val="0"/>
    </w:pPr>
    <w:rPr>
      <w:rFonts w:ascii="黑体" w:hAnsi="黑体" w:eastAsia="黑体"/>
      <w:kern w:val="44"/>
      <w:szCs w:val="32"/>
    </w:rPr>
  </w:style>
  <w:style w:type="paragraph" w:styleId="4">
    <w:name w:val="heading 2"/>
    <w:basedOn w:val="1"/>
    <w:next w:val="1"/>
    <w:link w:val="22"/>
    <w:unhideWhenUsed/>
    <w:qFormat/>
    <w:uiPriority w:val="9"/>
    <w:pPr>
      <w:keepNext/>
      <w:keepLines/>
      <w:spacing w:before="0" w:after="0" w:line="579" w:lineRule="exact"/>
      <w:ind w:firstLine="640" w:firstLineChars="200"/>
      <w:outlineLvl w:val="1"/>
    </w:pPr>
    <w:rPr>
      <w:rFonts w:ascii="仿宋_GB2312" w:hAnsi="仿宋_GB2312" w:eastAsia="楷体_GB2312" w:cstheme="majorBidi"/>
      <w:b/>
      <w:bCs/>
      <w:szCs w:val="32"/>
    </w:rPr>
  </w:style>
  <w:style w:type="paragraph" w:styleId="5">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UserStyle_0"/>
    <w:basedOn w:val="1"/>
    <w:next w:val="1"/>
    <w:qFormat/>
    <w:uiPriority w:val="0"/>
    <w:pPr>
      <w:ind w:firstLine="420" w:firstLineChars="200"/>
      <w:textAlignment w:val="baseline"/>
    </w:pPr>
  </w:style>
  <w:style w:type="paragraph" w:styleId="6">
    <w:name w:val="Body Text"/>
    <w:basedOn w:val="1"/>
    <w:qFormat/>
    <w:uiPriority w:val="0"/>
    <w:pPr>
      <w:jc w:val="center"/>
    </w:pPr>
    <w:rPr>
      <w:rFonts w:ascii="宋体"/>
      <w:sz w:val="44"/>
    </w:rPr>
  </w:style>
  <w:style w:type="paragraph" w:styleId="7">
    <w:name w:val="toc 3"/>
    <w:basedOn w:val="1"/>
    <w:next w:val="1"/>
    <w:unhideWhenUsed/>
    <w:qFormat/>
    <w:uiPriority w:val="39"/>
    <w:pPr>
      <w:widowControl/>
      <w:spacing w:after="100" w:line="259" w:lineRule="auto"/>
      <w:ind w:left="440"/>
      <w:jc w:val="left"/>
    </w:pPr>
    <w:rPr>
      <w:rFonts w:cs="Times New Roman" w:eastAsiaTheme="minorEastAsia"/>
      <w:kern w:val="0"/>
      <w:sz w:val="22"/>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296"/>
      </w:tabs>
      <w:spacing w:after="100" w:line="259" w:lineRule="auto"/>
      <w:jc w:val="left"/>
    </w:pPr>
    <w:rPr>
      <w:rFonts w:ascii="黑体" w:hAnsi="黑体" w:eastAsia="黑体" w:cs="Times New Roman"/>
      <w:kern w:val="0"/>
      <w:sz w:val="22"/>
    </w:rPr>
  </w:style>
  <w:style w:type="paragraph" w:styleId="11">
    <w:name w:val="footnote text"/>
    <w:basedOn w:val="1"/>
    <w:unhideWhenUsed/>
    <w:qFormat/>
    <w:uiPriority w:val="99"/>
    <w:pPr>
      <w:snapToGrid w:val="0"/>
      <w:jc w:val="left"/>
    </w:pPr>
    <w:rPr>
      <w:sz w:val="18"/>
    </w:rPr>
  </w:style>
  <w:style w:type="paragraph" w:styleId="12">
    <w:name w:val="toc 2"/>
    <w:basedOn w:val="1"/>
    <w:next w:val="1"/>
    <w:unhideWhenUsed/>
    <w:qFormat/>
    <w:uiPriority w:val="39"/>
    <w:pPr>
      <w:widowControl/>
      <w:spacing w:after="100" w:line="259" w:lineRule="auto"/>
      <w:ind w:left="220"/>
      <w:jc w:val="left"/>
    </w:pPr>
    <w:rPr>
      <w:rFonts w:cs="Times New Roman" w:eastAsiaTheme="minorEastAsia"/>
      <w:kern w:val="0"/>
      <w:sz w:val="22"/>
    </w:rPr>
  </w:style>
  <w:style w:type="paragraph" w:styleId="1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Emphasis"/>
    <w:basedOn w:val="16"/>
    <w:qFormat/>
    <w:uiPriority w:val="20"/>
    <w:rPr>
      <w:i/>
    </w:rPr>
  </w:style>
  <w:style w:type="character" w:styleId="19">
    <w:name w:val="Hyperlink"/>
    <w:basedOn w:val="16"/>
    <w:unhideWhenUsed/>
    <w:qFormat/>
    <w:uiPriority w:val="99"/>
    <w:rPr>
      <w:color w:val="0563C1" w:themeColor="hyperlink"/>
      <w:u w:val="single"/>
      <w14:textFill>
        <w14:solidFill>
          <w14:schemeClr w14:val="hlink"/>
        </w14:solidFill>
      </w14:textFill>
    </w:rPr>
  </w:style>
  <w:style w:type="character" w:styleId="20">
    <w:name w:val="footnote reference"/>
    <w:basedOn w:val="16"/>
    <w:unhideWhenUsed/>
    <w:qFormat/>
    <w:uiPriority w:val="99"/>
    <w:rPr>
      <w:vertAlign w:val="superscript"/>
    </w:rPr>
  </w:style>
  <w:style w:type="character" w:customStyle="1" w:styleId="21">
    <w:name w:val="标题 1 字符"/>
    <w:basedOn w:val="16"/>
    <w:link w:val="3"/>
    <w:qFormat/>
    <w:uiPriority w:val="9"/>
    <w:rPr>
      <w:rFonts w:ascii="黑体" w:hAnsi="黑体" w:eastAsia="黑体"/>
      <w:kern w:val="44"/>
      <w:sz w:val="32"/>
      <w:szCs w:val="32"/>
    </w:rPr>
  </w:style>
  <w:style w:type="character" w:customStyle="1" w:styleId="22">
    <w:name w:val="标题 2 字符"/>
    <w:basedOn w:val="16"/>
    <w:link w:val="4"/>
    <w:semiHidden/>
    <w:qFormat/>
    <w:uiPriority w:val="9"/>
    <w:rPr>
      <w:rFonts w:ascii="仿宋_GB2312" w:hAnsi="仿宋_GB2312" w:eastAsia="楷体_GB2312" w:cstheme="majorBidi"/>
      <w:b/>
      <w:bCs/>
      <w:sz w:val="32"/>
      <w:szCs w:val="32"/>
    </w:rPr>
  </w:style>
  <w:style w:type="paragraph" w:customStyle="1" w:styleId="23">
    <w:name w:val="TOC 标题1"/>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color w:val="2F5597" w:themeColor="accent1" w:themeShade="BF"/>
      <w:kern w:val="0"/>
    </w:rPr>
  </w:style>
  <w:style w:type="character" w:customStyle="1" w:styleId="24">
    <w:name w:val="页眉 字符"/>
    <w:basedOn w:val="16"/>
    <w:link w:val="9"/>
    <w:qFormat/>
    <w:uiPriority w:val="99"/>
    <w:rPr>
      <w:rFonts w:eastAsia="仿宋_GB2312"/>
      <w:sz w:val="18"/>
      <w:szCs w:val="18"/>
    </w:rPr>
  </w:style>
  <w:style w:type="character" w:customStyle="1" w:styleId="25">
    <w:name w:val="页脚 字符"/>
    <w:basedOn w:val="16"/>
    <w:link w:val="8"/>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16392</Words>
  <Characters>16730</Characters>
  <Lines>102</Lines>
  <Paragraphs>28</Paragraphs>
  <TotalTime>22</TotalTime>
  <ScaleCrop>false</ScaleCrop>
  <LinksUpToDate>false</LinksUpToDate>
  <CharactersWithSpaces>16795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2021-12-16T17:12:00Z</dcterms:created>
  <dc:creator>薛冰</dc:creator>
  <cp:lastModifiedBy>x</cp:lastModifiedBy>
  <dcterms:modified xsi:type="dcterms:W3CDTF">2022-09-15T14:37:02Z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8F183961FE2E4C488025E4E74832786E</vt:lpwstr>
  </property>
</Properties>
</file>