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150" w:afterAutospacing="0" w:line="570" w:lineRule="atLeast"/>
        <w:ind w:left="0" w:right="0" w:firstLine="0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424242"/>
          <w:spacing w:val="0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424242"/>
          <w:spacing w:val="0"/>
          <w:sz w:val="32"/>
          <w:szCs w:val="32"/>
          <w:shd w:val="clear" w:color="auto" w:fill="FFFFFF"/>
        </w:rPr>
        <w:t>附件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150" w:afterAutospacing="0" w:line="570" w:lineRule="atLeast"/>
        <w:ind w:left="0" w:right="0" w:firstLine="0"/>
        <w:jc w:val="center"/>
        <w:rPr>
          <w:rFonts w:hint="default" w:ascii="微软雅黑" w:hAnsi="微软雅黑" w:eastAsia="微软雅黑" w:cs="微软雅黑"/>
          <w:i w:val="0"/>
          <w:iCs w:val="0"/>
          <w:caps w:val="0"/>
          <w:color w:val="424242"/>
          <w:spacing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24242"/>
          <w:spacing w:val="0"/>
          <w:sz w:val="44"/>
          <w:szCs w:val="44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24242"/>
          <w:spacing w:val="0"/>
          <w:sz w:val="44"/>
          <w:szCs w:val="44"/>
          <w:shd w:val="clear" w:color="auto" w:fill="FFFFFF"/>
        </w:rPr>
        <w:t>22年“广东十佳最美农技员”评选活动推荐人选基本情况表</w:t>
      </w:r>
    </w:p>
    <w:tbl>
      <w:tblPr>
        <w:tblStyle w:val="3"/>
        <w:tblW w:w="139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584"/>
        <w:gridCol w:w="592"/>
        <w:gridCol w:w="652"/>
        <w:gridCol w:w="592"/>
        <w:gridCol w:w="375"/>
        <w:gridCol w:w="1737"/>
        <w:gridCol w:w="779"/>
        <w:gridCol w:w="800"/>
        <w:gridCol w:w="1115"/>
        <w:gridCol w:w="2773"/>
        <w:gridCol w:w="878"/>
        <w:gridCol w:w="2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 w:firstLine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424242"/>
                <w:sz w:val="24"/>
                <w:szCs w:val="24"/>
              </w:rPr>
            </w:pPr>
            <w:r>
              <w:rPr>
                <w:rStyle w:val="5"/>
                <w:rFonts w:hint="eastAsia" w:ascii="方正黑体_GBK" w:hAnsi="方正黑体_GBK" w:eastAsia="方正黑体_GBK" w:cs="方正黑体_GBK"/>
                <w:color w:val="424242"/>
                <w:sz w:val="24"/>
                <w:szCs w:val="24"/>
              </w:rPr>
              <w:t>序号</w:t>
            </w:r>
          </w:p>
        </w:tc>
        <w:tc>
          <w:tcPr>
            <w:tcW w:w="5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 w:firstLine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424242"/>
                <w:sz w:val="24"/>
                <w:szCs w:val="24"/>
              </w:rPr>
            </w:pPr>
            <w:r>
              <w:rPr>
                <w:rStyle w:val="5"/>
                <w:rFonts w:hint="eastAsia" w:ascii="方正黑体_GBK" w:hAnsi="方正黑体_GBK" w:eastAsia="方正黑体_GBK" w:cs="方正黑体_GBK"/>
                <w:color w:val="424242"/>
                <w:sz w:val="24"/>
                <w:szCs w:val="24"/>
              </w:rPr>
              <w:t>姓名</w:t>
            </w:r>
          </w:p>
        </w:tc>
        <w:tc>
          <w:tcPr>
            <w:tcW w:w="5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 w:firstLine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424242"/>
                <w:sz w:val="24"/>
                <w:szCs w:val="24"/>
              </w:rPr>
            </w:pPr>
            <w:r>
              <w:rPr>
                <w:rStyle w:val="5"/>
                <w:rFonts w:hint="eastAsia" w:ascii="方正黑体_GBK" w:hAnsi="方正黑体_GBK" w:eastAsia="方正黑体_GBK" w:cs="方正黑体_GBK"/>
                <w:color w:val="424242"/>
                <w:sz w:val="24"/>
                <w:szCs w:val="24"/>
              </w:rPr>
              <w:t>性别</w:t>
            </w:r>
          </w:p>
        </w:tc>
        <w:tc>
          <w:tcPr>
            <w:tcW w:w="6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 w:firstLine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424242"/>
                <w:sz w:val="24"/>
                <w:szCs w:val="24"/>
              </w:rPr>
            </w:pPr>
            <w:r>
              <w:rPr>
                <w:rStyle w:val="5"/>
                <w:rFonts w:hint="eastAsia" w:ascii="方正黑体_GBK" w:hAnsi="方正黑体_GBK" w:eastAsia="方正黑体_GBK" w:cs="方正黑体_GBK"/>
                <w:color w:val="424242"/>
                <w:sz w:val="24"/>
                <w:szCs w:val="24"/>
              </w:rPr>
              <w:t>出生年月</w:t>
            </w:r>
          </w:p>
        </w:tc>
        <w:tc>
          <w:tcPr>
            <w:tcW w:w="5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 w:firstLine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424242"/>
                <w:sz w:val="24"/>
                <w:szCs w:val="24"/>
              </w:rPr>
            </w:pPr>
            <w:r>
              <w:rPr>
                <w:rStyle w:val="5"/>
                <w:rFonts w:hint="eastAsia" w:ascii="方正黑体_GBK" w:hAnsi="方正黑体_GBK" w:eastAsia="方正黑体_GBK" w:cs="方正黑体_GBK"/>
                <w:color w:val="424242"/>
                <w:sz w:val="24"/>
                <w:szCs w:val="24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 w:firstLine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424242"/>
                <w:sz w:val="24"/>
                <w:szCs w:val="24"/>
              </w:rPr>
            </w:pPr>
            <w:r>
              <w:rPr>
                <w:rStyle w:val="5"/>
                <w:rFonts w:hint="eastAsia" w:ascii="方正黑体_GBK" w:hAnsi="方正黑体_GBK" w:eastAsia="方正黑体_GBK" w:cs="方正黑体_GBK"/>
                <w:color w:val="424242"/>
                <w:sz w:val="24"/>
                <w:szCs w:val="24"/>
              </w:rPr>
              <w:t>学历</w:t>
            </w:r>
          </w:p>
        </w:tc>
        <w:tc>
          <w:tcPr>
            <w:tcW w:w="3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 w:firstLine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424242"/>
                <w:sz w:val="24"/>
                <w:szCs w:val="24"/>
              </w:rPr>
            </w:pPr>
            <w:r>
              <w:rPr>
                <w:rStyle w:val="5"/>
                <w:rFonts w:hint="eastAsia" w:ascii="方正黑体_GBK" w:hAnsi="方正黑体_GBK" w:eastAsia="方正黑体_GBK" w:cs="方正黑体_GBK"/>
                <w:color w:val="424242"/>
                <w:sz w:val="24"/>
                <w:szCs w:val="24"/>
              </w:rPr>
              <w:t>民族</w:t>
            </w:r>
          </w:p>
        </w:tc>
        <w:tc>
          <w:tcPr>
            <w:tcW w:w="17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 w:firstLine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424242"/>
                <w:sz w:val="24"/>
                <w:szCs w:val="24"/>
              </w:rPr>
            </w:pPr>
            <w:r>
              <w:rPr>
                <w:rStyle w:val="5"/>
                <w:rFonts w:hint="eastAsia" w:ascii="方正黑体_GBK" w:hAnsi="方正黑体_GBK" w:eastAsia="方正黑体_GBK" w:cs="方正黑体_GBK"/>
                <w:color w:val="424242"/>
                <w:sz w:val="24"/>
                <w:szCs w:val="24"/>
              </w:rPr>
              <w:t>单位</w:t>
            </w:r>
          </w:p>
        </w:tc>
        <w:tc>
          <w:tcPr>
            <w:tcW w:w="7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 w:firstLine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424242"/>
                <w:sz w:val="24"/>
                <w:szCs w:val="24"/>
              </w:rPr>
            </w:pPr>
            <w:r>
              <w:rPr>
                <w:rStyle w:val="5"/>
                <w:rFonts w:hint="eastAsia" w:ascii="方正黑体_GBK" w:hAnsi="方正黑体_GBK" w:eastAsia="方正黑体_GBK" w:cs="方正黑体_GBK"/>
                <w:color w:val="424242"/>
                <w:sz w:val="24"/>
                <w:szCs w:val="24"/>
              </w:rPr>
              <w:t>职称职务</w:t>
            </w:r>
          </w:p>
        </w:tc>
        <w:tc>
          <w:tcPr>
            <w:tcW w:w="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 w:firstLine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424242"/>
                <w:sz w:val="24"/>
                <w:szCs w:val="24"/>
              </w:rPr>
            </w:pPr>
            <w:r>
              <w:rPr>
                <w:rStyle w:val="5"/>
                <w:rFonts w:hint="eastAsia" w:ascii="方正黑体_GBK" w:hAnsi="方正黑体_GBK" w:eastAsia="方正黑体_GBK" w:cs="方正黑体_GBK"/>
                <w:color w:val="424242"/>
                <w:sz w:val="24"/>
                <w:szCs w:val="24"/>
              </w:rPr>
              <w:t>从业领域</w:t>
            </w:r>
          </w:p>
        </w:tc>
        <w:tc>
          <w:tcPr>
            <w:tcW w:w="11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 w:firstLine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424242"/>
                <w:sz w:val="24"/>
                <w:szCs w:val="24"/>
              </w:rPr>
            </w:pPr>
            <w:r>
              <w:rPr>
                <w:rStyle w:val="5"/>
                <w:rFonts w:hint="eastAsia" w:ascii="方正黑体_GBK" w:hAnsi="方正黑体_GBK" w:eastAsia="方正黑体_GBK" w:cs="方正黑体_GBK"/>
                <w:color w:val="424242"/>
                <w:sz w:val="24"/>
                <w:szCs w:val="24"/>
              </w:rPr>
              <w:t>从事推广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 w:firstLine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424242"/>
                <w:sz w:val="24"/>
                <w:szCs w:val="24"/>
              </w:rPr>
            </w:pPr>
            <w:r>
              <w:rPr>
                <w:rStyle w:val="5"/>
                <w:rFonts w:hint="eastAsia" w:ascii="方正黑体_GBK" w:hAnsi="方正黑体_GBK" w:eastAsia="方正黑体_GBK" w:cs="方正黑体_GBK"/>
                <w:color w:val="424242"/>
                <w:sz w:val="24"/>
                <w:szCs w:val="24"/>
              </w:rPr>
              <w:t>工作时间</w:t>
            </w:r>
          </w:p>
        </w:tc>
        <w:tc>
          <w:tcPr>
            <w:tcW w:w="27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 w:firstLine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424242"/>
                <w:sz w:val="24"/>
                <w:szCs w:val="24"/>
              </w:rPr>
            </w:pPr>
            <w:r>
              <w:rPr>
                <w:rStyle w:val="5"/>
                <w:rFonts w:hint="eastAsia" w:ascii="方正黑体_GBK" w:hAnsi="方正黑体_GBK" w:eastAsia="方正黑体_GBK" w:cs="方正黑体_GBK"/>
                <w:color w:val="424242"/>
                <w:sz w:val="24"/>
                <w:szCs w:val="24"/>
              </w:rPr>
              <w:t>工作成效</w:t>
            </w:r>
          </w:p>
        </w:tc>
        <w:tc>
          <w:tcPr>
            <w:tcW w:w="8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 w:firstLine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424242"/>
                <w:sz w:val="24"/>
                <w:szCs w:val="24"/>
              </w:rPr>
            </w:pPr>
            <w:r>
              <w:rPr>
                <w:rStyle w:val="5"/>
                <w:rFonts w:hint="eastAsia" w:ascii="方正黑体_GBK" w:hAnsi="方正黑体_GBK" w:eastAsia="方正黑体_GBK" w:cs="方正黑体_GBK"/>
                <w:color w:val="424242"/>
                <w:sz w:val="24"/>
                <w:szCs w:val="24"/>
              </w:rPr>
              <w:t>社会美誉度</w:t>
            </w:r>
          </w:p>
        </w:tc>
        <w:tc>
          <w:tcPr>
            <w:tcW w:w="2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 w:firstLine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424242"/>
                <w:sz w:val="24"/>
                <w:szCs w:val="24"/>
              </w:rPr>
            </w:pPr>
            <w:r>
              <w:rPr>
                <w:rStyle w:val="5"/>
                <w:rFonts w:hint="eastAsia" w:ascii="方正黑体_GBK" w:hAnsi="方正黑体_GBK" w:eastAsia="方正黑体_GBK" w:cs="方正黑体_GBK"/>
                <w:color w:val="424242"/>
                <w:sz w:val="24"/>
                <w:szCs w:val="24"/>
              </w:rPr>
              <w:t>信息化、网络化农技推广服务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1" w:hRule="atLeast"/>
        </w:trPr>
        <w:tc>
          <w:tcPr>
            <w:tcW w:w="4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</w:rPr>
              <w:t>刘珍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</w:rPr>
              <w:t>1981.5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highlight w:val="none"/>
                <w:lang w:val="en-US" w:eastAsia="zh-CN"/>
              </w:rPr>
              <w:t>深圳市农业科技促进中心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</w:rPr>
              <w:t>高级农艺师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</w:rPr>
              <w:t>种植业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3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color w:val="000000"/>
                <w:sz w:val="24"/>
                <w:szCs w:val="24"/>
                <w:lang w:eastAsia="zh-CN"/>
              </w:rPr>
              <w:t>该同志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lang w:val="en-US" w:eastAsia="zh-CN"/>
              </w:rPr>
              <w:t>专业工作能力强，在红火蚁防控技术、蔬菜重大病虫害绿色防控技术集成与推广等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lang w:eastAsia="zh-CN"/>
              </w:rPr>
              <w:t>专业技术领域积累了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lang w:val="en-US" w:eastAsia="zh-CN"/>
              </w:rPr>
              <w:t>丰富经验，为深圳红火蚁防控、蔬菜重大病虫害绿色防控等工作作出了积极贡献。</w:t>
            </w:r>
            <w:r>
              <w:rPr>
                <w:rFonts w:hint="default" w:ascii="CESI仿宋-GB2312" w:hAnsi="CESI仿宋-GB2312" w:eastAsia="CESI仿宋-GB2312" w:cs="CESI仿宋-GB2312"/>
                <w:color w:val="000000"/>
                <w:sz w:val="24"/>
                <w:szCs w:val="24"/>
                <w:lang w:eastAsia="zh-CN"/>
              </w:rPr>
              <w:t>该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lang w:eastAsia="zh-CN"/>
              </w:rPr>
              <w:t>同志自2007年从事农业技术推广工作以来，曾多次获得省、市两级农业技术推广类奖项。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 w:firstLine="480" w:firstLineChars="200"/>
              <w:jc w:val="both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</w:rPr>
              <w:t>高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3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lang w:val="en-US" w:eastAsia="zh-CN"/>
              </w:rPr>
              <w:t>通过线上、线下等授课方式向基层农业技术人员、农业企业、市民及农户授课，累计培训、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lang w:eastAsia="zh-CN"/>
              </w:rPr>
              <w:t>咨询</w:t>
            </w:r>
            <w:r>
              <w:rPr>
                <w:rFonts w:hint="default" w:ascii="CESI仿宋-GB2312" w:hAnsi="CESI仿宋-GB2312" w:eastAsia="CESI仿宋-GB2312" w:cs="CESI仿宋-GB2312"/>
                <w:color w:val="000000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lang w:val="en-US" w:eastAsia="zh-CN"/>
              </w:rPr>
              <w:t>100000余人次。参与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lang w:eastAsia="zh-CN"/>
              </w:rPr>
              <w:t>红火蚁监测预警信息化技术、高效撒播施药技术等试验及应用推广，</w:t>
            </w:r>
            <w:r>
              <w:rPr>
                <w:rFonts w:hint="default" w:ascii="CESI仿宋-GB2312" w:hAnsi="CESI仿宋-GB2312" w:eastAsia="CESI仿宋-GB2312" w:cs="CESI仿宋-GB2312"/>
                <w:color w:val="000000"/>
                <w:sz w:val="24"/>
                <w:szCs w:val="24"/>
                <w:lang w:eastAsia="zh-CN"/>
              </w:rPr>
              <w:t>并参与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lang w:val="en-US" w:eastAsia="zh-CN"/>
              </w:rPr>
              <w:t>构建“监测预警、专业化防治、信息化监督评价、公众教育”的防控技术体系。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right="0"/>
              <w:jc w:val="both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66311"/>
    <w:rsid w:val="3FE6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2022-08-08T11:34:00Z</dcterms:created>
  <dc:creator>renxx11</dc:creator>
  <cp:lastModifiedBy>renxx11</cp:lastModifiedBy>
  <dcterms:modified xsi:type="dcterms:W3CDTF">2022-08-08T11:34:47Z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