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w:t>
      </w:r>
      <w:r>
        <w:rPr>
          <w:rFonts w:hint="eastAsia" w:ascii="楷体_GB2312" w:hAnsi="楷体" w:eastAsia="楷体_GB2312" w:cs="仿宋_GB2312"/>
          <w:b/>
          <w:color w:val="auto"/>
          <w:sz w:val="32"/>
          <w:szCs w:val="32"/>
          <w:lang w:val="en-US" w:eastAsia="zh-CN"/>
        </w:rPr>
        <w:t>二</w:t>
      </w:r>
      <w:r>
        <w:rPr>
          <w:rFonts w:hint="eastAsia" w:ascii="楷体_GB2312" w:hAnsi="楷体" w:eastAsia="楷体_GB2312" w:cs="仿宋_GB2312"/>
          <w:b/>
          <w:color w:val="auto"/>
          <w:sz w:val="32"/>
          <w:szCs w:val="32"/>
          <w:lang w:val="zh-CN" w:eastAsia="zh-CN"/>
        </w:rPr>
        <w:t>）铝的残留量</w:t>
      </w:r>
    </w:p>
    <w:p>
      <w:pPr>
        <w:spacing w:line="56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铝作为食品添加剂硫酸铝钾/硫酸铝铵的重要成分，经常会添加在食物中作为膨松剂或稳定剂</w:t>
      </w:r>
      <w:r>
        <w:rPr>
          <w:rFonts w:hint="eastAsia" w:ascii="仿宋_GB2312" w:hAnsi="仿宋" w:cs="仿宋_GB2312"/>
          <w:color w:val="auto"/>
          <w:sz w:val="32"/>
          <w:szCs w:val="32"/>
          <w:lang w:eastAsia="zh-CN"/>
        </w:rPr>
        <w:t>使用</w:t>
      </w:r>
      <w:r>
        <w:rPr>
          <w:rFonts w:hint="eastAsia" w:ascii="仿宋_GB2312" w:hAnsi="仿宋" w:eastAsia="仿宋_GB2312" w:cs="仿宋_GB2312"/>
          <w:color w:val="auto"/>
          <w:sz w:val="32"/>
          <w:szCs w:val="32"/>
        </w:rPr>
        <w:t>。</w:t>
      </w:r>
      <w:r>
        <w:rPr>
          <w:rFonts w:hint="eastAsia" w:ascii="仿宋_GB2312" w:hAnsi="仿宋" w:eastAsia="仿宋_GB2312"/>
          <w:sz w:val="32"/>
          <w:szCs w:val="32"/>
        </w:rPr>
        <w:t>《食品安全国家标准 食品添加剂使用标准》（GB 2760-2014）中规定，</w:t>
      </w:r>
      <w:r>
        <w:rPr>
          <w:rFonts w:hint="eastAsia" w:ascii="仿宋_GB2312" w:hAnsi="仿宋" w:cs="仿宋_GB2312"/>
          <w:sz w:val="32"/>
          <w:szCs w:val="32"/>
          <w:lang w:val="en-US" w:eastAsia="zh-CN"/>
        </w:rPr>
        <w:t>豆类制品中</w:t>
      </w:r>
      <w:r>
        <w:rPr>
          <w:rFonts w:hint="eastAsia" w:ascii="仿宋_GB2312" w:hAnsi="仿宋" w:eastAsia="仿宋_GB2312" w:cs="仿宋_GB2312"/>
          <w:sz w:val="32"/>
          <w:szCs w:val="32"/>
        </w:rPr>
        <w:t>铝的残留量(干样品，以Al计)应≤</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0000FF"/>
          <w:sz w:val="32"/>
          <w:szCs w:val="32"/>
          <w:vertAlign w:val="superscript"/>
          <w:lang w:val="zh-CN"/>
        </w:rPr>
        <w:t>2</w:t>
      </w:r>
      <w:r>
        <w:rPr>
          <w:rFonts w:hint="eastAsia" w:ascii="仿宋_GB2312" w:hAnsi="仿宋" w:eastAsia="仿宋_GB2312"/>
          <w:sz w:val="32"/>
          <w:szCs w:val="32"/>
          <w:lang w:val="zh-CN"/>
        </w:rPr>
        <w:t>）中不得检出大肠菌群。</w:t>
      </w:r>
      <w:r>
        <w:rPr>
          <w:rFonts w:ascii="仿宋_GB2312" w:hAnsi="仿宋" w:eastAsia="仿宋_GB2312"/>
          <w:sz w:val="32"/>
          <w:szCs w:val="32"/>
          <w:lang w:val="zh-CN"/>
        </w:rPr>
        <w:t>《食品安全国家标准 速冻面米制品》</w:t>
      </w:r>
      <w:r>
        <w:rPr>
          <w:rFonts w:hint="eastAsia" w:ascii="仿宋_GB2312" w:hAnsi="仿宋" w:eastAsia="仿宋_GB2312"/>
          <w:sz w:val="32"/>
          <w:szCs w:val="32"/>
          <w:lang w:val="zh-CN" w:eastAsia="zh-CN"/>
        </w:rPr>
        <w:t>（</w:t>
      </w:r>
      <w:r>
        <w:rPr>
          <w:rFonts w:ascii="仿宋_GB2312" w:hAnsi="仿宋" w:eastAsia="仿宋_GB2312"/>
          <w:sz w:val="32"/>
          <w:szCs w:val="32"/>
          <w:lang w:val="zh-CN"/>
        </w:rPr>
        <w:t>GB 19295-2011</w:t>
      </w:r>
      <w:r>
        <w:rPr>
          <w:rFonts w:hint="eastAsia" w:ascii="仿宋_GB2312" w:hAnsi="仿宋" w:eastAsia="仿宋_GB2312"/>
          <w:sz w:val="32"/>
          <w:szCs w:val="32"/>
          <w:lang w:val="zh-CN"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w:t>
      </w:r>
      <w:r>
        <w:rPr>
          <w:rFonts w:hint="eastAsia" w:ascii="仿宋_GB2312" w:hAnsi="仿宋" w:eastAsia="仿宋_GB2312"/>
          <w:sz w:val="32"/>
          <w:szCs w:val="32"/>
          <w:lang w:val="en-US" w:eastAsia="zh-CN"/>
        </w:rPr>
        <w:t>若其中1</w:t>
      </w:r>
      <w:r>
        <w:rPr>
          <w:rFonts w:hint="eastAsia" w:ascii="仿宋_GB2312" w:hAnsi="仿宋" w:eastAsia="仿宋_GB2312"/>
          <w:sz w:val="32"/>
          <w:szCs w:val="32"/>
        </w:rPr>
        <w:t>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baseline"/>
          <w:lang w:val="en-US" w:eastAsia="zh-CN"/>
        </w:rPr>
        <w:t>0</w:t>
      </w:r>
      <w:r>
        <w:rPr>
          <w:rFonts w:hint="eastAsia" w:ascii="仿宋_GB2312" w:hAnsi="仿宋" w:eastAsia="仿宋_GB2312"/>
          <w:sz w:val="32"/>
          <w:szCs w:val="32"/>
        </w:rPr>
        <w:t>CFU/g）,则这种情况也是允许的；若有</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baseline"/>
          <w:lang w:val="en-US" w:eastAsia="zh-CN"/>
        </w:rPr>
        <w:t>0</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餐饮具中检出大肠菌群提示餐饮具可能因清洗消毒不当或交叉污染导致食具受到肠道致病菌污染，</w:t>
      </w:r>
      <w:r>
        <w:rPr>
          <w:rFonts w:hint="eastAsia" w:ascii="仿宋_GB2312" w:hAnsi="仿宋" w:eastAsia="仿宋_GB2312" w:cs="宋体"/>
          <w:sz w:val="32"/>
          <w:szCs w:val="32"/>
        </w:rPr>
        <w:t>食品中检出大肠菌群不合格提示食品可能受到肠道致病菌污染，</w:t>
      </w:r>
      <w:r>
        <w:rPr>
          <w:rFonts w:hint="eastAsia" w:ascii="仿宋_GB2312" w:hAnsi="仿宋" w:eastAsia="仿宋_GB2312"/>
          <w:color w:val="auto"/>
          <w:sz w:val="32"/>
          <w:szCs w:val="32"/>
        </w:rPr>
        <w:t>如就餐者使用了大肠菌群不合格的餐饮具，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四</w:t>
      </w:r>
      <w:r>
        <w:rPr>
          <w:rFonts w:hint="eastAsia" w:ascii="楷体_GB2312" w:hAnsi="楷体" w:eastAsia="楷体_GB2312" w:cs="仿宋_GB2312"/>
          <w:b/>
          <w:sz w:val="32"/>
          <w:szCs w:val="32"/>
          <w:lang w:eastAsia="zh-CN"/>
        </w:rPr>
        <w:t>）过氧化值</w:t>
      </w:r>
    </w:p>
    <w:p>
      <w:pPr>
        <w:spacing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s="仿宋"/>
          <w:color w:val="auto"/>
          <w:sz w:val="32"/>
          <w:szCs w:val="32"/>
        </w:rPr>
        <w:t>过氧化值主要反映食品中油脂是否氧化变质。随着油脂被氧化，过氧化值会逐步升高。《食品安全国家标准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的过氧化值(以脂肪计)应≤0.5g/100g</w:t>
      </w:r>
      <w:r>
        <w:rPr>
          <w:rFonts w:hint="eastAsia" w:ascii="仿宋_GB2312" w:hAnsi="仿宋" w:eastAsia="仿宋_GB2312"/>
          <w:sz w:val="32"/>
          <w:szCs w:val="32"/>
        </w:rPr>
        <w:t>。</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w:t>
      </w:r>
      <w:r>
        <w:rPr>
          <w:rFonts w:hint="eastAsia" w:ascii="仿宋_GB2312" w:hAnsi="仿宋"/>
          <w:color w:val="0000FF"/>
          <w:sz w:val="32"/>
          <w:szCs w:val="32"/>
          <w:lang w:eastAsia="zh-CN"/>
        </w:rPr>
        <w:t>。</w:t>
      </w:r>
      <w:r>
        <w:rPr>
          <w:rFonts w:hint="eastAsia" w:ascii="仿宋_GB2312" w:hAnsi="仿宋" w:eastAsia="仿宋_GB2312" w:cs="仿宋"/>
          <w:color w:val="auto"/>
          <w:sz w:val="32"/>
          <w:szCs w:val="32"/>
        </w:rPr>
        <w:t>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五</w:t>
      </w:r>
      <w:r>
        <w:rPr>
          <w:rFonts w:hint="eastAsia" w:ascii="楷体_GB2312" w:hAnsi="楷体" w:eastAsia="楷体_GB2312" w:cs="仿宋_GB2312"/>
          <w:b/>
          <w:sz w:val="32"/>
          <w:szCs w:val="32"/>
          <w:lang w:val="zh-CN" w:eastAsia="zh-CN"/>
        </w:rPr>
        <w:t>）阴离子合成洗涤剂 </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00B0F0"/>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rPr>
      </w:pPr>
      <w:r>
        <w:rPr>
          <w:rFonts w:hint="eastAsia" w:ascii="方正楷体_GB2312" w:hAnsi="方正楷体_GB2312" w:eastAsia="方正楷体_GB2312" w:cs="方正楷体_GB2312"/>
          <w:b/>
          <w:kern w:val="0"/>
          <w:sz w:val="32"/>
          <w:szCs w:val="32"/>
        </w:rPr>
        <w:t>（</w:t>
      </w:r>
      <w:r>
        <w:rPr>
          <w:rFonts w:hint="eastAsia" w:ascii="方正楷体_GB2312" w:hAnsi="方正楷体_GB2312" w:eastAsia="方正楷体_GB2312" w:cs="方正楷体_GB2312"/>
          <w:b/>
          <w:kern w:val="0"/>
          <w:sz w:val="32"/>
          <w:szCs w:val="32"/>
          <w:lang w:val="en-US" w:eastAsia="zh-CN"/>
        </w:rPr>
        <w:t>六</w:t>
      </w:r>
      <w:r>
        <w:rPr>
          <w:rFonts w:hint="eastAsia" w:ascii="方正楷体_GB2312" w:hAnsi="方正楷体_GB2312" w:eastAsia="方正楷体_GB2312" w:cs="方正楷体_GB2312"/>
          <w:b/>
          <w:kern w:val="0"/>
          <w:sz w:val="32"/>
          <w:szCs w:val="32"/>
        </w:rPr>
        <w:t>）菌落总数</w:t>
      </w:r>
    </w:p>
    <w:p>
      <w:pPr>
        <w:spacing w:line="560" w:lineRule="exact"/>
        <w:ind w:firstLine="640" w:firstLineChars="200"/>
        <w:rPr>
          <w:rFonts w:hint="eastAsia" w:ascii="仿宋_GB2312" w:hAnsi="宋体" w:eastAsia="仿宋_GB2312" w:cs="宋体"/>
          <w:b w:val="0"/>
          <w:kern w:val="0"/>
          <w:sz w:val="32"/>
          <w:szCs w:val="32"/>
          <w:lang w:val="en-US" w:eastAsia="zh-CN" w:bidi="ar-SA"/>
        </w:rPr>
      </w:pPr>
      <w:r>
        <w:rPr>
          <w:rFonts w:hint="eastAsia" w:ascii="仿宋_GB2312" w:hAnsi="宋体" w:eastAsia="仿宋_GB2312" w:cs="宋体"/>
          <w:b w:val="0"/>
          <w:kern w:val="0"/>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ascii="仿宋_GB2312" w:hAnsi="仿宋" w:eastAsia="仿宋_GB2312"/>
          <w:sz w:val="32"/>
          <w:szCs w:val="32"/>
          <w:lang w:val="zh-CN"/>
        </w:rPr>
        <w:t>《食品安全</w:t>
      </w:r>
      <w:bookmarkStart w:id="0" w:name="_GoBack"/>
      <w:bookmarkEnd w:id="0"/>
      <w:r>
        <w:rPr>
          <w:rFonts w:ascii="仿宋_GB2312" w:hAnsi="仿宋" w:eastAsia="仿宋_GB2312"/>
          <w:sz w:val="32"/>
          <w:szCs w:val="32"/>
          <w:lang w:val="zh-CN"/>
        </w:rPr>
        <w:t>国家标准 速冻面米制品》</w:t>
      </w:r>
      <w:r>
        <w:rPr>
          <w:rFonts w:hint="eastAsia" w:ascii="仿宋_GB2312" w:hAnsi="仿宋" w:eastAsia="仿宋_GB2312"/>
          <w:sz w:val="32"/>
          <w:szCs w:val="32"/>
          <w:lang w:val="zh-CN" w:eastAsia="zh-CN"/>
        </w:rPr>
        <w:t>（</w:t>
      </w:r>
      <w:r>
        <w:rPr>
          <w:rFonts w:ascii="仿宋_GB2312" w:hAnsi="仿宋" w:eastAsia="仿宋_GB2312"/>
          <w:sz w:val="32"/>
          <w:szCs w:val="32"/>
          <w:lang w:val="zh-CN"/>
        </w:rPr>
        <w:t>GB 19295-2011</w:t>
      </w:r>
      <w:r>
        <w:rPr>
          <w:rFonts w:hint="eastAsia" w:ascii="仿宋_GB2312" w:hAnsi="仿宋" w:eastAsia="仿宋_GB2312"/>
          <w:sz w:val="32"/>
          <w:szCs w:val="32"/>
          <w:lang w:val="zh-CN"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color w:val="000000"/>
          <w:sz w:val="32"/>
          <w:szCs w:val="32"/>
          <w:lang w:val="en-US" w:eastAsia="zh-CN"/>
        </w:rPr>
        <w:t>000</w:t>
      </w:r>
      <w:r>
        <w:rPr>
          <w:rFonts w:hint="eastAsia" w:ascii="仿宋_GB2312" w:hAnsi="仿宋" w:eastAsia="仿宋_GB2312"/>
          <w:sz w:val="32"/>
          <w:szCs w:val="32"/>
        </w:rPr>
        <w:t>CFU/g），则这种情况是允许的；</w:t>
      </w:r>
      <w:r>
        <w:rPr>
          <w:rFonts w:hint="eastAsia" w:ascii="仿宋_GB2312" w:hAnsi="仿宋" w:eastAsia="仿宋_GB2312"/>
          <w:sz w:val="32"/>
          <w:szCs w:val="32"/>
          <w:lang w:val="en-US" w:eastAsia="zh-CN"/>
        </w:rPr>
        <w:t>若其中1</w:t>
      </w:r>
      <w:r>
        <w:rPr>
          <w:rFonts w:hint="eastAsia" w:ascii="仿宋_GB2312" w:hAnsi="仿宋" w:eastAsia="仿宋_GB2312"/>
          <w:sz w:val="32"/>
          <w:szCs w:val="32"/>
        </w:rPr>
        <w:t>个样品的结果（X）位于m值和M值之间（</w:t>
      </w:r>
      <w:r>
        <w:rPr>
          <w:rFonts w:hint="eastAsia" w:ascii="仿宋_GB2312" w:hAnsi="仿宋" w:eastAsia="仿宋_GB2312"/>
          <w:color w:val="000000"/>
          <w:sz w:val="32"/>
          <w:szCs w:val="32"/>
        </w:rPr>
        <w:t>10</w:t>
      </w:r>
      <w:r>
        <w:rPr>
          <w:rFonts w:hint="eastAsia" w:ascii="仿宋_GB2312" w:hAnsi="仿宋"/>
          <w:color w:val="000000"/>
          <w:sz w:val="32"/>
          <w:szCs w:val="32"/>
          <w:lang w:val="en-US" w:eastAsia="zh-CN"/>
        </w:rPr>
        <w:t>000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baseline"/>
          <w:lang w:val="en-US" w:eastAsia="zh-CN"/>
        </w:rPr>
        <w:t>0</w:t>
      </w:r>
      <w:r>
        <w:rPr>
          <w:rFonts w:hint="eastAsia" w:ascii="仿宋_GB2312" w:hAnsi="仿宋"/>
          <w:color w:val="000000"/>
          <w:sz w:val="32"/>
          <w:szCs w:val="32"/>
          <w:vertAlign w:val="baseline"/>
          <w:lang w:val="en-US" w:eastAsia="zh-CN"/>
        </w:rPr>
        <w:t>000</w:t>
      </w:r>
      <w:r>
        <w:rPr>
          <w:rFonts w:hint="eastAsia" w:ascii="仿宋_GB2312" w:hAnsi="仿宋" w:eastAsia="仿宋_GB2312"/>
          <w:sz w:val="32"/>
          <w:szCs w:val="32"/>
        </w:rPr>
        <w:t>CFU/g）,则这种情况也是允许的；若有</w:t>
      </w:r>
      <w:r>
        <w:rPr>
          <w:rFonts w:hint="eastAsia" w:ascii="仿宋_GB2312" w:hAnsi="仿宋" w:eastAsia="仿宋_GB2312"/>
          <w:sz w:val="32"/>
          <w:szCs w:val="32"/>
          <w:lang w:val="en-US" w:eastAsia="zh-CN"/>
        </w:rPr>
        <w:t>2</w:t>
      </w:r>
      <w:r>
        <w:rPr>
          <w:rFonts w:hint="eastAsia" w:ascii="仿宋_GB2312" w:hAnsi="仿宋" w:eastAsia="仿宋_GB2312"/>
          <w:sz w:val="32"/>
          <w:szCs w:val="32"/>
        </w:rPr>
        <w:t>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baseline"/>
          <w:lang w:val="en-US" w:eastAsia="zh-CN"/>
        </w:rPr>
        <w:t>0</w:t>
      </w:r>
      <w:r>
        <w:rPr>
          <w:rFonts w:hint="eastAsia" w:ascii="仿宋_GB2312" w:hAnsi="仿宋"/>
          <w:color w:val="000000"/>
          <w:sz w:val="32"/>
          <w:szCs w:val="32"/>
          <w:vertAlign w:val="baseline"/>
          <w:lang w:val="en-US" w:eastAsia="zh-CN"/>
        </w:rPr>
        <w:t>000</w:t>
      </w:r>
      <w:r>
        <w:rPr>
          <w:rFonts w:hint="eastAsia" w:ascii="仿宋_GB2312" w:hAnsi="仿宋" w:eastAsia="仿宋_GB2312"/>
          <w:sz w:val="32"/>
          <w:szCs w:val="32"/>
        </w:rPr>
        <w:t>CFU/g），则这种情况也是不允许的。</w:t>
      </w:r>
      <w:r>
        <w:rPr>
          <w:rFonts w:hint="eastAsia" w:ascii="仿宋_GB2312" w:hAnsi="宋体" w:eastAsia="仿宋_GB2312" w:cs="宋体"/>
          <w:b w:val="0"/>
          <w:kern w:val="0"/>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widowControl/>
        <w:spacing w:line="560" w:lineRule="exact"/>
        <w:ind w:firstLine="643" w:firstLineChars="200"/>
        <w:jc w:val="left"/>
        <w:rPr>
          <w:rFonts w:hint="default"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（七）</w:t>
      </w:r>
      <w:r>
        <w:rPr>
          <w:rFonts w:hint="default" w:ascii="方正楷体_GB2312" w:hAnsi="方正楷体_GB2312" w:eastAsia="方正楷体_GB2312" w:cs="方正楷体_GB2312"/>
          <w:b/>
          <w:kern w:val="0"/>
          <w:sz w:val="32"/>
          <w:szCs w:val="32"/>
          <w:lang w:val="en-US" w:eastAsia="zh-CN"/>
        </w:rPr>
        <w:t>不挥发酸(以乳酸计)</w:t>
      </w:r>
    </w:p>
    <w:p>
      <w:pPr>
        <w:spacing w:line="56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不挥发酸是食醋中总酸的一种，以乳酸为主,可以使食醋的酸味绵长，柔软可口。《酿造食醋》（GB/T 18187-2000）中规定，固态发酵食醋中的不挥发酸（以乳酸计）应不少于0.50g/100mL。不挥发酸含量不足，在一定程度上会影响食醋的口感和风味。造成不挥发酸不合格的原因，可能是生产加工过程中发酵工艺控制不当。</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 xml:space="preserve">（八）大肠埃希氏菌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大肠埃希氏菌又叫大肠杆菌，是肠道中最普遍、数量最多的一类细菌，也是食品污染程度的重要参数指标。大肠埃希氏菌则是肠出血性大肠杆菌（EHEC）的代表菌株，该菌感染剂量极低，可产生大量的Vero毒素，能引起人的出血性腹泻和肠炎。《广东省食品安全地方标准 非预包装即食食品微生物限量》（DBS 44/006-2016）中规定，熟肉制品的大肠埃希氏菌＜</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 xml:space="preserve"> CFU/g为满意，</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 xml:space="preserve"> -＜</w:t>
      </w:r>
      <w:r>
        <w:rPr>
          <w:rFonts w:hint="eastAsia" w:ascii="仿宋_GB2312" w:hAnsi="仿宋" w:eastAsia="仿宋_GB2312"/>
          <w:sz w:val="32"/>
          <w:szCs w:val="32"/>
          <w:lang w:val="en-US" w:eastAsia="zh-CN"/>
        </w:rPr>
        <w:t>100</w:t>
      </w:r>
      <w:r>
        <w:rPr>
          <w:rFonts w:hint="eastAsia" w:ascii="仿宋_GB2312" w:hAnsi="仿宋" w:eastAsia="仿宋_GB2312"/>
          <w:sz w:val="32"/>
          <w:szCs w:val="32"/>
          <w:lang w:eastAsia="zh-CN"/>
        </w:rPr>
        <w:t>CFU/g为可接受，≥</w:t>
      </w:r>
      <w:r>
        <w:rPr>
          <w:rFonts w:hint="eastAsia" w:ascii="仿宋_GB2312" w:hAnsi="仿宋" w:eastAsia="仿宋_GB2312"/>
          <w:sz w:val="32"/>
          <w:szCs w:val="32"/>
          <w:lang w:val="en-US" w:eastAsia="zh-CN"/>
        </w:rPr>
        <w:t>100</w:t>
      </w:r>
      <w:r>
        <w:rPr>
          <w:rFonts w:hint="eastAsia" w:ascii="仿宋_GB2312" w:hAnsi="仿宋" w:eastAsia="仿宋_GB2312"/>
          <w:sz w:val="32"/>
          <w:szCs w:val="32"/>
          <w:lang w:eastAsia="zh-CN"/>
        </w:rPr>
        <w:t>CFU/g为不合格。大肠埃希氏菌超出相关标准所规定的限量值，则说明食品存在卫生质量缺陷，提示该食品中存在着肠道致病菌污染的可能性，对人体健康具有潜在的危</w:t>
      </w:r>
      <w:r>
        <w:rPr>
          <w:rFonts w:hint="eastAsia" w:ascii="仿宋_GB2312" w:hAnsi="仿宋" w:eastAsia="仿宋_GB2312"/>
          <w:color w:val="auto"/>
          <w:sz w:val="32"/>
          <w:szCs w:val="32"/>
          <w:lang w:eastAsia="zh-CN"/>
        </w:rPr>
        <w:t>险。检出的原因可能是食品从业人员没有对环境、加工储存</w:t>
      </w:r>
      <w:r>
        <w:rPr>
          <w:rFonts w:hint="eastAsia" w:ascii="仿宋_GB2312" w:hAnsi="仿宋" w:eastAsia="仿宋_GB2312"/>
          <w:sz w:val="32"/>
          <w:szCs w:val="32"/>
          <w:lang w:eastAsia="zh-CN"/>
        </w:rPr>
        <w:t>设备和人手等采取严格的消毒措施和保洁措施，造成产品受到污染。</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（九）防腐剂混合使用时各自用量占其最大使用量的比例之和</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（十）酒精度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酒精度又叫酒度，是酒类的一个重要理化指标，是指在20℃时，100毫升酒中含有乙醇（酒精）的毫升数，即体积（容量）的百分数。《固液法白酒》</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GB/T 20822-2007</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中规定，</w:t>
      </w:r>
      <w:r>
        <w:rPr>
          <w:rFonts w:hint="eastAsia" w:ascii="仿宋_GB2312" w:hAnsi="仿宋" w:cs="Times New Roman"/>
          <w:sz w:val="32"/>
          <w:szCs w:val="32"/>
          <w:lang w:val="en-US" w:eastAsia="zh-CN"/>
        </w:rPr>
        <w:t>白酒</w:t>
      </w:r>
      <w:r>
        <w:rPr>
          <w:rFonts w:hint="eastAsia" w:ascii="仿宋_GB2312" w:hAnsi="仿宋" w:eastAsia="仿宋_GB2312" w:cs="Times New Roman"/>
          <w:sz w:val="32"/>
          <w:szCs w:val="32"/>
        </w:rPr>
        <w:t>的实际酒精度应在标示值±1.0%vol的偏差范围内。酒中酒精度不达标会影响酒类的品质及口感，此外由于产品实际酒精度与明示指标不符也可能对消费者构成欺骗行为。</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en-US" w:eastAsia="zh-CN"/>
        </w:rPr>
      </w:pPr>
      <w:r>
        <w:rPr>
          <w:rFonts w:hint="eastAsia" w:ascii="方正楷体_GB2312" w:hAnsi="方正楷体_GB2312" w:eastAsia="方正楷体_GB2312" w:cs="方正楷体_GB2312"/>
          <w:b/>
          <w:kern w:val="0"/>
          <w:sz w:val="32"/>
          <w:szCs w:val="32"/>
          <w:lang w:val="en-US" w:eastAsia="zh-CN"/>
        </w:rPr>
        <w:t>（十一）酸价</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酸价主要反映食品中的油脂酸败程度。《食品安全国家标准 坚果与籽类食品》GB 19300-2014中规定，熟制坚果与籽类食品的酸价(以脂肪计)应≤3mg/g。酸价过高会导致食品有哈喇味，所产生的醛、酮、酸会破坏脂溶性维生素，会导致肠胃不适症状，特别是对抵抗能力较弱的老人、孕妇、小孩危害更明显。</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lang w:val="zh-CN" w:eastAsia="zh-CN"/>
        </w:rPr>
      </w:pPr>
      <w:r>
        <w:rPr>
          <w:rFonts w:hint="eastAsia" w:ascii="方正楷体_GB2312" w:hAnsi="方正楷体_GB2312" w:eastAsia="方正楷体_GB2312" w:cs="方正楷体_GB2312"/>
          <w:b/>
          <w:kern w:val="0"/>
          <w:sz w:val="32"/>
          <w:szCs w:val="32"/>
          <w:lang w:val="zh-CN" w:eastAsia="zh-CN"/>
        </w:rPr>
        <w:t>（</w:t>
      </w:r>
      <w:r>
        <w:rPr>
          <w:rFonts w:hint="eastAsia" w:ascii="方正楷体_GB2312" w:hAnsi="方正楷体_GB2312" w:eastAsia="方正楷体_GB2312" w:cs="方正楷体_GB2312"/>
          <w:b/>
          <w:kern w:val="0"/>
          <w:sz w:val="32"/>
          <w:szCs w:val="32"/>
          <w:lang w:val="en-US" w:eastAsia="zh-CN"/>
        </w:rPr>
        <w:t>十二</w:t>
      </w:r>
      <w:r>
        <w:rPr>
          <w:rFonts w:hint="eastAsia" w:ascii="方正楷体_GB2312" w:hAnsi="方正楷体_GB2312" w:eastAsia="方正楷体_GB2312" w:cs="方正楷体_GB2312"/>
          <w:b/>
          <w:kern w:val="0"/>
          <w:sz w:val="32"/>
          <w:szCs w:val="32"/>
          <w:lang w:val="zh-CN" w:eastAsia="zh-CN"/>
        </w:rPr>
        <w:t>）维生素A</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维生素A又称维生素甲、视黄醇等，为脂溶性维生素品种，有助于维持暗视力、皮肤和粘膜健康，可提高机体免疫功能、促进生长和骨骼发育。《食品安全国家标准 辅食营养补充品》（GB 22570-2014）中规定，6～36月龄食用的辅食营养补充剂中维生素每日份含量应在（150～360）(μg RE)，且《食品安全国家标准 预包装特殊膳食用食品标签》（GB 13432-2013）中规定，在产品保质期内，能量和营养成分的实际含量不应低于标示值的80%，并应符合相应产品标准的要求。营养素补充剂类</w:t>
      </w:r>
      <w:r>
        <w:rPr>
          <w:rFonts w:hint="eastAsia" w:ascii="仿宋_GB2312" w:hAnsi="仿宋" w:eastAsia="仿宋_GB2312" w:cs="Times New Roman"/>
          <w:color w:val="auto"/>
          <w:kern w:val="2"/>
          <w:sz w:val="32"/>
          <w:szCs w:val="32"/>
          <w:lang w:val="zh-CN" w:eastAsia="zh-CN" w:bidi="ar-SA"/>
        </w:rPr>
        <w:t>特殊膳食食</w:t>
      </w:r>
      <w:r>
        <w:rPr>
          <w:rFonts w:hint="eastAsia" w:ascii="仿宋_GB2312" w:hAnsi="仿宋" w:eastAsia="仿宋_GB2312" w:cs="Times New Roman"/>
          <w:kern w:val="2"/>
          <w:sz w:val="32"/>
          <w:szCs w:val="32"/>
          <w:lang w:val="zh-CN" w:eastAsia="zh-CN" w:bidi="ar-SA"/>
        </w:rPr>
        <w:t>品中营养素含量达不到标准要求，说明该产品在质量上存在缺陷</w:t>
      </w:r>
      <w:r>
        <w:rPr>
          <w:rFonts w:hint="eastAsia" w:ascii="仿宋_GB2312" w:hAnsi="仿宋" w:eastAsia="仿宋_GB2312" w:cs="Times New Roman"/>
          <w:color w:val="0000FF"/>
          <w:kern w:val="2"/>
          <w:sz w:val="32"/>
          <w:szCs w:val="32"/>
          <w:lang w:val="zh-CN" w:eastAsia="zh-CN" w:bidi="ar-SA"/>
        </w:rPr>
        <w:t>。</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B10C860-0595-40EE-A818-3EC8AD3D5CC2}"/>
  </w:font>
  <w:font w:name="黑体">
    <w:panose1 w:val="02010609060101010101"/>
    <w:charset w:val="86"/>
    <w:family w:val="auto"/>
    <w:pitch w:val="default"/>
    <w:sig w:usb0="800002BF" w:usb1="38CF7CFA" w:usb2="00000016" w:usb3="00000000" w:csb0="00040001" w:csb1="00000000"/>
    <w:embedRegular r:id="rId2" w:fontKey="{C7808101-A423-41C4-BA2D-873B72E5B61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F40156AA-28F7-4F8F-AA9D-D2A2F08C23B2}"/>
  </w:font>
  <w:font w:name="楷体_GB2312">
    <w:panose1 w:val="02010609030101010101"/>
    <w:charset w:val="86"/>
    <w:family w:val="auto"/>
    <w:pitch w:val="default"/>
    <w:sig w:usb0="00000001" w:usb1="080E0000" w:usb2="00000000" w:usb3="00000000" w:csb0="00040000" w:csb1="00000000"/>
    <w:embedRegular r:id="rId4" w:fontKey="{34C1B156-5E63-4331-8B84-95B260134C6C}"/>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58610E61-C3DE-4E88-B622-2AEBFA59BDEF}"/>
  </w:font>
  <w:font w:name="华文中宋">
    <w:panose1 w:val="02010600040101010101"/>
    <w:charset w:val="86"/>
    <w:family w:val="auto"/>
    <w:pitch w:val="default"/>
    <w:sig w:usb0="00000287" w:usb1="080F0000" w:usb2="00000000" w:usb3="00000000" w:csb0="0004009F" w:csb1="DFD70000"/>
    <w:embedRegular r:id="rId6" w:fontKey="{4BEF1E00-FE90-44B5-B765-857A1977F0D5}"/>
  </w:font>
  <w:font w:name="楷体">
    <w:panose1 w:val="02010609060101010101"/>
    <w:charset w:val="86"/>
    <w:family w:val="modern"/>
    <w:pitch w:val="default"/>
    <w:sig w:usb0="800002BF" w:usb1="38CF7CFA" w:usb2="00000016" w:usb3="00000000" w:csb0="00040001" w:csb1="00000000"/>
    <w:embedRegular r:id="rId7" w:fontKey="{9F90D054-895F-4B26-9F83-622290A255BD}"/>
  </w:font>
  <w:font w:name="仿宋">
    <w:panose1 w:val="02010609060101010101"/>
    <w:charset w:val="86"/>
    <w:family w:val="modern"/>
    <w:pitch w:val="default"/>
    <w:sig w:usb0="800002BF" w:usb1="38CF7CFA" w:usb2="00000016" w:usb3="00000000" w:csb0="00040001" w:csb1="00000000"/>
    <w:embedRegular r:id="rId8" w:fontKey="{F076CEF1-E4AD-41CF-934C-331CC53ADC3C}"/>
  </w:font>
  <w:font w:name="方正楷体_GB2312">
    <w:panose1 w:val="02000000000000000000"/>
    <w:charset w:val="86"/>
    <w:family w:val="auto"/>
    <w:pitch w:val="default"/>
    <w:sig w:usb0="A00002BF" w:usb1="184F6CFA" w:usb2="00000012" w:usb3="00000000" w:csb0="00040001" w:csb1="00000000"/>
    <w:embedRegular r:id="rId9" w:fontKey="{A97499B6-3A83-4665-8F04-D41A5772F7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A101FAB"/>
    <w:rsid w:val="0A545255"/>
    <w:rsid w:val="0AEA5DCE"/>
    <w:rsid w:val="0B66492E"/>
    <w:rsid w:val="0B6F4B3F"/>
    <w:rsid w:val="0C083FBC"/>
    <w:rsid w:val="0C0C4E1D"/>
    <w:rsid w:val="0C455D22"/>
    <w:rsid w:val="0C6F4539"/>
    <w:rsid w:val="0CD4225F"/>
    <w:rsid w:val="0D1C5633"/>
    <w:rsid w:val="0D6C4E32"/>
    <w:rsid w:val="0E070B9A"/>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200851"/>
    <w:rsid w:val="31831750"/>
    <w:rsid w:val="3189778C"/>
    <w:rsid w:val="31AA7543"/>
    <w:rsid w:val="31EA5456"/>
    <w:rsid w:val="31EF1FC4"/>
    <w:rsid w:val="323F00BC"/>
    <w:rsid w:val="324700B2"/>
    <w:rsid w:val="330F0153"/>
    <w:rsid w:val="33132CF8"/>
    <w:rsid w:val="3334531C"/>
    <w:rsid w:val="336A3327"/>
    <w:rsid w:val="33713745"/>
    <w:rsid w:val="34264611"/>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91B060E"/>
    <w:rsid w:val="39264334"/>
    <w:rsid w:val="39275408"/>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48609B"/>
    <w:rsid w:val="4852746A"/>
    <w:rsid w:val="4864409A"/>
    <w:rsid w:val="48961A2D"/>
    <w:rsid w:val="48E60C18"/>
    <w:rsid w:val="49346CC6"/>
    <w:rsid w:val="49664C37"/>
    <w:rsid w:val="499A7ACA"/>
    <w:rsid w:val="4B223C16"/>
    <w:rsid w:val="4B37566A"/>
    <w:rsid w:val="4B3F5F2B"/>
    <w:rsid w:val="4BCB614C"/>
    <w:rsid w:val="4C7A639D"/>
    <w:rsid w:val="4CE91A69"/>
    <w:rsid w:val="4CF5205D"/>
    <w:rsid w:val="4DAC348D"/>
    <w:rsid w:val="4E0D626A"/>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6F7B86"/>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3610</Words>
  <Characters>3958</Characters>
  <Lines>28</Lines>
  <Paragraphs>8</Paragraphs>
  <TotalTime>45</TotalTime>
  <ScaleCrop>false</ScaleCrop>
  <LinksUpToDate>false</LinksUpToDate>
  <CharactersWithSpaces>3992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2022-05-26T04:18:19Z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