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426" w:leftChars="-203" w:firstLine="320" w:firstLineChars="100"/>
        <w:jc w:val="left"/>
        <w:rPr>
          <w:rFonts w:hint="eastAsia"/>
          <w:b/>
          <w:bCs/>
          <w:sz w:val="44"/>
          <w:szCs w:val="52"/>
          <w:lang w:val="en-US" w:eastAsia="zh-CN"/>
        </w:rPr>
      </w:pPr>
      <w:bookmarkStart w:id="0" w:name="_Hlk94340579"/>
      <w:r>
        <w:rPr>
          <w:rFonts w:hint="eastAsia"/>
          <w:b w:val="0"/>
          <w:bCs w:val="0"/>
          <w:sz w:val="32"/>
          <w:szCs w:val="32"/>
          <w:lang w:val="en-US" w:eastAsia="zh-CN"/>
        </w:rPr>
        <w:t xml:space="preserve">附件1. </w:t>
      </w:r>
      <w:r>
        <w:rPr>
          <w:rFonts w:hint="eastAsia"/>
          <w:b/>
          <w:bCs/>
          <w:sz w:val="44"/>
          <w:szCs w:val="52"/>
          <w:lang w:val="en-US" w:eastAsia="zh-CN"/>
        </w:rPr>
        <w:t xml:space="preserve">              </w:t>
      </w:r>
    </w:p>
    <w:p>
      <w:pPr>
        <w:spacing w:line="440" w:lineRule="exact"/>
        <w:ind w:left="-426" w:leftChars="-203" w:firstLine="442" w:firstLineChars="100"/>
        <w:jc w:val="center"/>
        <w:rPr>
          <w:rFonts w:hint="eastAsia"/>
          <w:b/>
          <w:bCs/>
          <w:sz w:val="44"/>
          <w:szCs w:val="52"/>
        </w:rPr>
      </w:pPr>
      <w:r>
        <w:rPr>
          <w:rFonts w:hint="eastAsia"/>
          <w:b/>
          <w:bCs/>
          <w:sz w:val="44"/>
          <w:szCs w:val="52"/>
        </w:rPr>
        <w:t>“两制”工作自查自纠</w:t>
      </w:r>
      <w:r>
        <w:rPr>
          <w:rFonts w:hint="eastAsia"/>
          <w:b/>
          <w:bCs/>
          <w:sz w:val="44"/>
          <w:szCs w:val="52"/>
          <w:lang w:val="en-US" w:eastAsia="zh-CN"/>
        </w:rPr>
        <w:t>检查</w:t>
      </w:r>
      <w:r>
        <w:rPr>
          <w:rFonts w:hint="eastAsia"/>
          <w:b/>
          <w:bCs/>
          <w:sz w:val="44"/>
          <w:szCs w:val="52"/>
        </w:rPr>
        <w:t>表</w:t>
      </w:r>
      <w:bookmarkEnd w:id="0"/>
    </w:p>
    <w:p>
      <w:pPr>
        <w:spacing w:line="440" w:lineRule="exact"/>
        <w:ind w:left="-426" w:leftChars="-203" w:firstLine="442" w:firstLineChars="100"/>
        <w:jc w:val="center"/>
        <w:rPr>
          <w:rFonts w:hint="eastAsia"/>
          <w:b/>
          <w:bCs/>
          <w:sz w:val="44"/>
          <w:szCs w:val="52"/>
        </w:rPr>
      </w:pPr>
    </w:p>
    <w:p>
      <w:pPr>
        <w:spacing w:line="440" w:lineRule="exact"/>
        <w:ind w:left="-426" w:leftChars="-203" w:firstLine="442" w:firstLineChars="100"/>
        <w:jc w:val="center"/>
        <w:rPr>
          <w:rFonts w:hint="eastAsia"/>
          <w:b/>
          <w:bCs/>
          <w:sz w:val="44"/>
          <w:szCs w:val="52"/>
        </w:rPr>
      </w:pPr>
    </w:p>
    <w:p>
      <w:pPr>
        <w:spacing w:line="440" w:lineRule="exact"/>
        <w:ind w:left="-426" w:leftChars="-203" w:firstLine="480" w:firstLineChars="200"/>
        <w:jc w:val="left"/>
        <w:rPr>
          <w:rFonts w:ascii="宋体" w:hAnsi="宋体" w:cs="宋体"/>
          <w:sz w:val="24"/>
        </w:rPr>
      </w:pPr>
      <w:r>
        <w:rPr>
          <w:rFonts w:hint="eastAsia" w:ascii="宋体" w:hAnsi="宋体" w:cs="宋体"/>
          <w:sz w:val="24"/>
          <w:lang w:val="en-US" w:eastAsia="zh-CN"/>
        </w:rPr>
        <w:t>项目名称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填报时间：</w:t>
      </w:r>
      <w:r>
        <w:rPr>
          <w:rFonts w:hint="eastAsia" w:ascii="宋体" w:hAnsi="宋体" w:cs="宋体"/>
          <w:sz w:val="24"/>
          <w:u w:val="single"/>
        </w:rPr>
        <w:t xml:space="preserve">                                           </w:t>
      </w:r>
    </w:p>
    <w:p>
      <w:pPr>
        <w:spacing w:line="440" w:lineRule="exact"/>
        <w:ind w:left="-426" w:leftChars="-203" w:firstLine="480" w:firstLineChars="200"/>
        <w:jc w:val="left"/>
        <w:rPr>
          <w:rFonts w:ascii="宋体" w:hAnsi="宋体" w:cs="宋体"/>
          <w:sz w:val="24"/>
        </w:rPr>
      </w:pPr>
      <w:r>
        <w:rPr>
          <w:rFonts w:hint="eastAsia" w:ascii="宋体" w:hAnsi="宋体" w:cs="宋体"/>
          <w:sz w:val="24"/>
        </w:rPr>
        <w:t xml:space="preserve">联系人 </w:t>
      </w:r>
      <w:r>
        <w:rPr>
          <w:rFonts w:ascii="宋体" w:hAnsi="宋体" w:cs="宋体"/>
          <w:sz w:val="24"/>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p>
    <w:tbl>
      <w:tblPr>
        <w:tblStyle w:val="4"/>
        <w:tblW w:w="141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550"/>
        <w:gridCol w:w="2583"/>
        <w:gridCol w:w="4917"/>
        <w:gridCol w:w="4083"/>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71" w:type="dxa"/>
            <w:vAlign w:val="center"/>
          </w:tcPr>
          <w:p>
            <w:pPr>
              <w:spacing w:line="380" w:lineRule="exact"/>
              <w:jc w:val="center"/>
              <w:rPr>
                <w:rFonts w:hint="eastAsia" w:ascii="宋体" w:hAnsi="宋体" w:cs="宋体" w:eastAsiaTheme="minorEastAsia"/>
                <w:b/>
                <w:bCs/>
                <w:sz w:val="24"/>
                <w:lang w:val="en-US" w:eastAsia="zh-CN"/>
              </w:rPr>
            </w:pPr>
            <w:r>
              <w:rPr>
                <w:rFonts w:hint="eastAsia" w:ascii="宋体" w:hAnsi="宋体" w:cs="宋体"/>
                <w:b/>
                <w:bCs/>
                <w:sz w:val="24"/>
                <w:lang w:val="en-US" w:eastAsia="zh-CN"/>
              </w:rPr>
              <w:t>类别</w:t>
            </w:r>
          </w:p>
        </w:tc>
        <w:tc>
          <w:tcPr>
            <w:tcW w:w="550" w:type="dxa"/>
            <w:vAlign w:val="center"/>
          </w:tcPr>
          <w:p>
            <w:pPr>
              <w:spacing w:line="380" w:lineRule="exact"/>
              <w:jc w:val="center"/>
              <w:rPr>
                <w:rFonts w:ascii="宋体" w:hAnsi="宋体" w:cs="宋体"/>
                <w:b/>
                <w:bCs/>
                <w:sz w:val="24"/>
              </w:rPr>
            </w:pPr>
            <w:r>
              <w:rPr>
                <w:rFonts w:hint="eastAsia" w:ascii="宋体" w:hAnsi="宋体" w:cs="宋体"/>
                <w:b/>
                <w:bCs/>
                <w:sz w:val="24"/>
              </w:rPr>
              <w:t>序号</w:t>
            </w:r>
          </w:p>
        </w:tc>
        <w:tc>
          <w:tcPr>
            <w:tcW w:w="2583" w:type="dxa"/>
            <w:vAlign w:val="center"/>
          </w:tcPr>
          <w:p>
            <w:pPr>
              <w:spacing w:line="380" w:lineRule="exact"/>
              <w:jc w:val="center"/>
              <w:rPr>
                <w:rFonts w:ascii="宋体" w:hAnsi="宋体" w:cs="宋体"/>
                <w:sz w:val="24"/>
              </w:rPr>
            </w:pPr>
            <w:r>
              <w:rPr>
                <w:rFonts w:hint="eastAsia" w:ascii="宋体" w:hAnsi="宋体" w:cs="宋体"/>
                <w:b/>
                <w:sz w:val="24"/>
                <w:lang w:val="en-US" w:eastAsia="zh-CN"/>
              </w:rPr>
              <w:t>自查</w:t>
            </w:r>
            <w:r>
              <w:rPr>
                <w:rFonts w:hint="eastAsia" w:ascii="宋体" w:hAnsi="宋体" w:cs="宋体"/>
                <w:b/>
                <w:sz w:val="24"/>
              </w:rPr>
              <w:t>内容</w:t>
            </w:r>
          </w:p>
        </w:tc>
        <w:tc>
          <w:tcPr>
            <w:tcW w:w="4917" w:type="dxa"/>
            <w:vAlign w:val="center"/>
          </w:tcPr>
          <w:p>
            <w:pPr>
              <w:adjustRightInd w:val="0"/>
              <w:snapToGrid w:val="0"/>
              <w:spacing w:line="38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自查方式</w:t>
            </w:r>
          </w:p>
        </w:tc>
        <w:tc>
          <w:tcPr>
            <w:tcW w:w="4083" w:type="dxa"/>
            <w:vAlign w:val="center"/>
          </w:tcPr>
          <w:p>
            <w:pPr>
              <w:adjustRightInd w:val="0"/>
              <w:snapToGrid w:val="0"/>
              <w:spacing w:line="380" w:lineRule="exact"/>
              <w:jc w:val="center"/>
              <w:rPr>
                <w:rFonts w:hint="default" w:ascii="宋体" w:hAnsi="宋体" w:cs="宋体" w:eastAsiaTheme="minorEastAsia"/>
                <w:b/>
                <w:sz w:val="24"/>
                <w:lang w:val="en-US" w:eastAsia="zh-CN"/>
              </w:rPr>
            </w:pPr>
            <w:r>
              <w:rPr>
                <w:rFonts w:hint="eastAsia" w:ascii="宋体" w:hAnsi="宋体" w:cs="宋体"/>
                <w:b/>
                <w:sz w:val="24"/>
                <w:lang w:val="en-US" w:eastAsia="zh-CN"/>
              </w:rPr>
              <w:t>工作指标</w:t>
            </w:r>
          </w:p>
        </w:tc>
        <w:tc>
          <w:tcPr>
            <w:tcW w:w="1233" w:type="dxa"/>
            <w:vAlign w:val="center"/>
          </w:tcPr>
          <w:p>
            <w:pPr>
              <w:adjustRightInd w:val="0"/>
              <w:snapToGrid w:val="0"/>
              <w:spacing w:line="380" w:lineRule="exact"/>
              <w:jc w:val="center"/>
              <w:rPr>
                <w:rFonts w:ascii="宋体" w:hAnsi="宋体" w:cs="宋体"/>
                <w:b/>
                <w:sz w:val="24"/>
              </w:rPr>
            </w:pPr>
            <w:r>
              <w:rPr>
                <w:rFonts w:hint="eastAsia" w:ascii="宋体" w:hAnsi="宋体" w:cs="宋体"/>
                <w:b/>
                <w:sz w:val="24"/>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restart"/>
            <w:vAlign w:val="center"/>
          </w:tcPr>
          <w:p>
            <w:pPr>
              <w:pStyle w:val="3"/>
              <w:widowControl/>
              <w:jc w:val="center"/>
              <w:rPr>
                <w:rFonts w:hint="default" w:eastAsiaTheme="minorEastAsia"/>
                <w:bCs/>
                <w:lang w:val="en-US" w:eastAsia="zh-CN"/>
              </w:rPr>
            </w:pPr>
            <w:r>
              <w:rPr>
                <w:rFonts w:hint="eastAsia"/>
                <w:bCs/>
                <w:lang w:val="en-US" w:eastAsia="zh-CN"/>
              </w:rPr>
              <w:t>建设单位填写</w:t>
            </w:r>
          </w:p>
        </w:tc>
        <w:tc>
          <w:tcPr>
            <w:tcW w:w="550" w:type="dxa"/>
            <w:vAlign w:val="center"/>
          </w:tcPr>
          <w:p>
            <w:pPr>
              <w:pStyle w:val="3"/>
              <w:widowControl/>
              <w:jc w:val="center"/>
              <w:rPr>
                <w:bCs/>
              </w:rPr>
            </w:pPr>
            <w:r>
              <w:rPr>
                <w:rFonts w:hint="eastAsia"/>
                <w:bCs/>
              </w:rPr>
              <w:t>1</w:t>
            </w:r>
          </w:p>
        </w:tc>
        <w:tc>
          <w:tcPr>
            <w:tcW w:w="2583" w:type="dxa"/>
            <w:vAlign w:val="center"/>
          </w:tcPr>
          <w:p>
            <w:pPr>
              <w:numPr>
                <w:ilvl w:val="0"/>
                <w:numId w:val="0"/>
              </w:numPr>
              <w:ind w:left="0" w:leftChars="0" w:firstLine="0" w:firstLineChars="0"/>
              <w:jc w:val="both"/>
              <w:rPr>
                <w:rFonts w:hint="default" w:ascii="宋体" w:hAnsi="宋体" w:cs="宋体" w:eastAsiaTheme="minorEastAsia"/>
                <w:sz w:val="20"/>
                <w:szCs w:val="20"/>
                <w:lang w:val="en-US" w:eastAsia="zh-CN"/>
              </w:rPr>
            </w:pPr>
            <w:r>
              <w:rPr>
                <w:rFonts w:hint="eastAsia" w:ascii="宋体" w:hAnsi="宋体" w:cs="宋体"/>
                <w:kern w:val="0"/>
                <w:sz w:val="20"/>
                <w:szCs w:val="20"/>
                <w:lang w:val="en-US" w:eastAsia="zh-CN"/>
              </w:rPr>
              <w:t>建设单位落实工程款支付担保制度</w:t>
            </w:r>
          </w:p>
        </w:tc>
        <w:tc>
          <w:tcPr>
            <w:tcW w:w="4917" w:type="dxa"/>
            <w:vAlign w:val="center"/>
          </w:tcPr>
          <w:p>
            <w:pPr>
              <w:numPr>
                <w:ilvl w:val="0"/>
                <w:numId w:val="0"/>
              </w:numPr>
              <w:ind w:left="0" w:leftChars="0" w:firstLine="0" w:firstLineChars="0"/>
              <w:jc w:val="both"/>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建设单位检查是否开立工程款支付担保保函，查看保函上的工程信息与实际工程信息是否一致。</w:t>
            </w:r>
          </w:p>
        </w:tc>
        <w:tc>
          <w:tcPr>
            <w:tcW w:w="4083" w:type="dxa"/>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1.建设单位应当向总包单位开立工程款支付担保保函；</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2.保函对应的工程；信息与实际工程信息一致；</w:t>
            </w:r>
          </w:p>
          <w:p>
            <w:pPr>
              <w:numPr>
                <w:ilvl w:val="0"/>
                <w:numId w:val="0"/>
              </w:numPr>
              <w:ind w:left="0" w:leftChars="0" w:firstLine="0" w:firstLineChars="0"/>
              <w:jc w:val="both"/>
              <w:rPr>
                <w:rFonts w:hint="default" w:eastAsiaTheme="minorEastAsia"/>
                <w:b/>
                <w:sz w:val="20"/>
                <w:szCs w:val="22"/>
                <w:lang w:val="en-US" w:eastAsia="zh-CN"/>
              </w:rPr>
            </w:pPr>
            <w:r>
              <w:rPr>
                <w:rFonts w:hint="eastAsia" w:ascii="宋体" w:hAnsi="宋体" w:cs="宋体"/>
                <w:kern w:val="0"/>
                <w:sz w:val="20"/>
                <w:szCs w:val="20"/>
                <w:lang w:val="en-US" w:eastAsia="zh-CN"/>
              </w:rPr>
              <w:t>3.保函上的担保单位盖章、时间等信息完整。</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continue"/>
            <w:vAlign w:val="center"/>
          </w:tcPr>
          <w:p>
            <w:pPr>
              <w:pStyle w:val="3"/>
              <w:widowControl/>
              <w:jc w:val="center"/>
              <w:rPr>
                <w:rFonts w:hint="eastAsia"/>
                <w:bCs/>
                <w:lang w:val="en-US" w:eastAsia="zh-CN"/>
              </w:rPr>
            </w:pPr>
          </w:p>
        </w:tc>
        <w:tc>
          <w:tcPr>
            <w:tcW w:w="550" w:type="dxa"/>
            <w:vMerge w:val="restart"/>
            <w:vAlign w:val="center"/>
          </w:tcPr>
          <w:p>
            <w:pPr>
              <w:pStyle w:val="3"/>
              <w:widowControl/>
              <w:jc w:val="center"/>
              <w:rPr>
                <w:rFonts w:hint="eastAsia" w:eastAsiaTheme="minorEastAsia"/>
                <w:bCs/>
                <w:lang w:val="en-US" w:eastAsia="zh-CN"/>
              </w:rPr>
            </w:pPr>
            <w:r>
              <w:rPr>
                <w:rFonts w:hint="eastAsia"/>
                <w:bCs/>
                <w:lang w:val="en-US" w:eastAsia="zh-CN"/>
              </w:rPr>
              <w:t>2</w:t>
            </w:r>
          </w:p>
        </w:tc>
        <w:tc>
          <w:tcPr>
            <w:tcW w:w="2583" w:type="dxa"/>
            <w:vMerge w:val="restart"/>
            <w:vAlign w:val="center"/>
          </w:tcPr>
          <w:p>
            <w:pPr>
              <w:numPr>
                <w:ilvl w:val="0"/>
                <w:numId w:val="0"/>
              </w:numPr>
              <w:ind w:left="0" w:leftChars="0" w:firstLine="0" w:firstLineChars="0"/>
              <w:jc w:val="both"/>
              <w:rPr>
                <w:rFonts w:hint="eastAsia" w:ascii="宋体" w:hAnsi="宋体" w:cs="宋体"/>
                <w:sz w:val="20"/>
                <w:szCs w:val="20"/>
                <w:lang w:val="en-US" w:eastAsia="zh-CN"/>
              </w:rPr>
            </w:pPr>
            <w:r>
              <w:rPr>
                <w:rFonts w:hint="eastAsia" w:ascii="宋体" w:hAnsi="宋体" w:cs="宋体"/>
                <w:kern w:val="0"/>
                <w:sz w:val="20"/>
                <w:szCs w:val="20"/>
                <w:lang w:val="en-US" w:eastAsia="zh-CN"/>
              </w:rPr>
              <w:t>建设单位按时足额往农民工工资专户（以下简称“专户”）拨付人工费用</w:t>
            </w:r>
          </w:p>
        </w:tc>
        <w:tc>
          <w:tcPr>
            <w:tcW w:w="4917"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建设单位检查是否按月、足额将工人工资拨付到总包单位开立的农民工工资专户。</w:t>
            </w:r>
          </w:p>
        </w:tc>
        <w:tc>
          <w:tcPr>
            <w:tcW w:w="4083" w:type="dxa"/>
            <w:vAlign w:val="center"/>
          </w:tcPr>
          <w:p>
            <w:pPr>
              <w:numPr>
                <w:ilvl w:val="0"/>
                <w:numId w:val="0"/>
              </w:numPr>
              <w:ind w:left="0" w:leftChars="0" w:firstLine="0" w:firstLineChars="0"/>
              <w:jc w:val="both"/>
              <w:rPr>
                <w:rFonts w:hint="eastAsia"/>
                <w:b w:val="0"/>
                <w:bCs/>
                <w:sz w:val="20"/>
                <w:szCs w:val="22"/>
                <w:lang w:val="en-US" w:eastAsia="zh-CN"/>
              </w:rPr>
            </w:pPr>
            <w:r>
              <w:rPr>
                <w:rFonts w:hint="eastAsia" w:ascii="宋体" w:hAnsi="宋体" w:cs="宋体"/>
                <w:kern w:val="0"/>
                <w:sz w:val="20"/>
                <w:szCs w:val="20"/>
                <w:lang w:val="en-US" w:eastAsia="zh-CN"/>
              </w:rPr>
              <w:t>建设单位应按月、足额将工人工资拨付到总包单位开立的农民工工资专户</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continue"/>
            <w:vAlign w:val="center"/>
          </w:tcPr>
          <w:p>
            <w:pPr>
              <w:pStyle w:val="3"/>
              <w:widowControl/>
              <w:jc w:val="center"/>
              <w:rPr>
                <w:rFonts w:hint="eastAsia"/>
                <w:bCs/>
              </w:rPr>
            </w:pPr>
          </w:p>
        </w:tc>
        <w:tc>
          <w:tcPr>
            <w:tcW w:w="550" w:type="dxa"/>
            <w:vMerge w:val="continue"/>
            <w:vAlign w:val="center"/>
          </w:tcPr>
          <w:p>
            <w:pPr>
              <w:pStyle w:val="3"/>
              <w:widowControl/>
              <w:jc w:val="center"/>
              <w:rPr>
                <w:rFonts w:hint="eastAsia"/>
                <w:bCs/>
              </w:rPr>
            </w:pPr>
          </w:p>
        </w:tc>
        <w:tc>
          <w:tcPr>
            <w:tcW w:w="2583" w:type="dxa"/>
            <w:vMerge w:val="continue"/>
            <w:vAlign w:val="center"/>
          </w:tcPr>
          <w:p>
            <w:pPr>
              <w:numPr>
                <w:ilvl w:val="0"/>
                <w:numId w:val="0"/>
              </w:numPr>
              <w:ind w:left="0" w:leftChars="0" w:firstLine="0" w:firstLineChars="0"/>
              <w:jc w:val="both"/>
              <w:rPr>
                <w:rFonts w:hint="eastAsia" w:ascii="宋体" w:hAnsi="宋体" w:cs="宋体"/>
                <w:sz w:val="20"/>
                <w:szCs w:val="20"/>
                <w:lang w:val="en-US" w:eastAsia="zh-CN"/>
              </w:rPr>
            </w:pPr>
          </w:p>
        </w:tc>
        <w:tc>
          <w:tcPr>
            <w:tcW w:w="4917"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建设单位检查是否保留往专户拨付人工费用的银行流水凭证。</w:t>
            </w:r>
          </w:p>
        </w:tc>
        <w:tc>
          <w:tcPr>
            <w:tcW w:w="4083" w:type="dxa"/>
            <w:vAlign w:val="center"/>
          </w:tcPr>
          <w:p>
            <w:pPr>
              <w:numPr>
                <w:ilvl w:val="0"/>
                <w:numId w:val="0"/>
              </w:numPr>
              <w:ind w:left="0" w:leftChars="0" w:firstLine="0" w:firstLineChars="0"/>
              <w:jc w:val="both"/>
              <w:rPr>
                <w:rFonts w:hint="eastAsia"/>
                <w:b w:val="0"/>
                <w:bCs/>
                <w:sz w:val="20"/>
                <w:szCs w:val="22"/>
                <w:lang w:val="en-US" w:eastAsia="zh-CN"/>
              </w:rPr>
            </w:pPr>
            <w:r>
              <w:rPr>
                <w:rFonts w:hint="eastAsia" w:ascii="宋体" w:hAnsi="宋体" w:cs="宋体"/>
                <w:kern w:val="0"/>
                <w:sz w:val="20"/>
                <w:szCs w:val="20"/>
                <w:lang w:val="en-US" w:eastAsia="zh-CN"/>
              </w:rPr>
              <w:t>建设单位应保留往总包单位开立的专户拨付人工费用的所有银行流水凭证</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continue"/>
            <w:vAlign w:val="center"/>
          </w:tcPr>
          <w:p>
            <w:pPr>
              <w:pStyle w:val="3"/>
              <w:widowControl/>
              <w:jc w:val="center"/>
              <w:rPr>
                <w:rFonts w:hint="eastAsia"/>
                <w:bCs/>
                <w:lang w:val="en-US" w:eastAsia="zh-CN"/>
              </w:rPr>
            </w:pPr>
          </w:p>
        </w:tc>
        <w:tc>
          <w:tcPr>
            <w:tcW w:w="550" w:type="dxa"/>
            <w:tcBorders>
              <w:bottom w:val="single" w:color="auto" w:sz="4" w:space="0"/>
            </w:tcBorders>
            <w:vAlign w:val="center"/>
          </w:tcPr>
          <w:p>
            <w:pPr>
              <w:pStyle w:val="3"/>
              <w:widowControl/>
              <w:jc w:val="center"/>
              <w:rPr>
                <w:rFonts w:hint="eastAsia" w:eastAsiaTheme="minorEastAsia"/>
                <w:bCs/>
                <w:lang w:val="en-US" w:eastAsia="zh-CN"/>
              </w:rPr>
            </w:pPr>
            <w:r>
              <w:rPr>
                <w:rFonts w:hint="eastAsia"/>
                <w:bCs/>
                <w:lang w:val="en-US" w:eastAsia="zh-CN"/>
              </w:rPr>
              <w:t>3</w:t>
            </w:r>
          </w:p>
        </w:tc>
        <w:tc>
          <w:tcPr>
            <w:tcW w:w="2583" w:type="dxa"/>
            <w:tcBorders>
              <w:bottom w:val="single" w:color="auto" w:sz="4" w:space="0"/>
            </w:tcBorders>
            <w:vAlign w:val="center"/>
          </w:tcPr>
          <w:p>
            <w:pPr>
              <w:numPr>
                <w:ilvl w:val="0"/>
                <w:numId w:val="0"/>
              </w:numPr>
              <w:ind w:left="0" w:leftChars="0" w:firstLine="0" w:firstLineChars="0"/>
              <w:jc w:val="both"/>
              <w:rPr>
                <w:rFonts w:hint="eastAsia" w:ascii="宋体" w:hAnsi="宋体" w:cs="宋体"/>
                <w:sz w:val="20"/>
                <w:szCs w:val="20"/>
                <w:lang w:val="en-US" w:eastAsia="zh-CN"/>
              </w:rPr>
            </w:pPr>
            <w:r>
              <w:rPr>
                <w:rFonts w:hint="eastAsia" w:ascii="宋体" w:hAnsi="宋体" w:cs="宋体"/>
                <w:kern w:val="0"/>
                <w:sz w:val="20"/>
                <w:szCs w:val="20"/>
                <w:lang w:val="en-US" w:eastAsia="zh-CN"/>
              </w:rPr>
              <w:t>政府投资项目建设单位应提前拨付预付款（社会投资项目可不填写）</w:t>
            </w:r>
          </w:p>
        </w:tc>
        <w:tc>
          <w:tcPr>
            <w:tcW w:w="4917" w:type="dxa"/>
            <w:tcBorders>
              <w:bottom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政府投资项目，建设单位检查是否有预付款</w:t>
            </w:r>
          </w:p>
        </w:tc>
        <w:tc>
          <w:tcPr>
            <w:tcW w:w="4083" w:type="dxa"/>
            <w:vAlign w:val="center"/>
          </w:tcPr>
          <w:p>
            <w:pPr>
              <w:numPr>
                <w:ilvl w:val="0"/>
                <w:numId w:val="0"/>
              </w:numPr>
              <w:ind w:left="0" w:leftChars="0" w:firstLine="0" w:firstLineChars="0"/>
              <w:jc w:val="both"/>
              <w:rPr>
                <w:rFonts w:hint="eastAsia"/>
                <w:b w:val="0"/>
                <w:bCs/>
                <w:sz w:val="20"/>
                <w:szCs w:val="22"/>
                <w:lang w:val="en-US" w:eastAsia="zh-CN"/>
              </w:rPr>
            </w:pPr>
            <w:r>
              <w:rPr>
                <w:rFonts w:hint="eastAsia" w:ascii="宋体" w:hAnsi="宋体" w:cs="宋体"/>
                <w:kern w:val="0"/>
                <w:sz w:val="20"/>
                <w:szCs w:val="20"/>
                <w:lang w:val="en-US" w:eastAsia="zh-CN"/>
              </w:rPr>
              <w:t>政府投资项目，不得由总包单位垫资建设，建设单位需提前支付预付款</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continue"/>
            <w:tcBorders>
              <w:bottom w:val="single" w:color="auto" w:sz="4" w:space="0"/>
            </w:tcBorders>
            <w:vAlign w:val="center"/>
          </w:tcPr>
          <w:p>
            <w:pPr>
              <w:pStyle w:val="3"/>
              <w:widowControl/>
              <w:jc w:val="center"/>
              <w:rPr>
                <w:rFonts w:hint="eastAsia"/>
                <w:bCs/>
                <w:lang w:val="en-US" w:eastAsia="zh-CN"/>
              </w:rPr>
            </w:pPr>
          </w:p>
        </w:tc>
        <w:tc>
          <w:tcPr>
            <w:tcW w:w="550" w:type="dxa"/>
            <w:tcBorders>
              <w:bottom w:val="single" w:color="auto" w:sz="4" w:space="0"/>
            </w:tcBorders>
            <w:vAlign w:val="center"/>
          </w:tcPr>
          <w:p>
            <w:pPr>
              <w:pStyle w:val="3"/>
              <w:widowControl/>
              <w:jc w:val="center"/>
              <w:rPr>
                <w:rFonts w:hint="default"/>
                <w:bCs/>
                <w:lang w:val="en-US" w:eastAsia="zh-CN"/>
              </w:rPr>
            </w:pPr>
            <w:r>
              <w:rPr>
                <w:rFonts w:hint="eastAsia"/>
                <w:bCs/>
                <w:lang w:val="en-US" w:eastAsia="zh-CN"/>
              </w:rPr>
              <w:t>4</w:t>
            </w:r>
          </w:p>
        </w:tc>
        <w:tc>
          <w:tcPr>
            <w:tcW w:w="2583" w:type="dxa"/>
            <w:tcBorders>
              <w:bottom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施工总包合同</w:t>
            </w:r>
          </w:p>
        </w:tc>
        <w:tc>
          <w:tcPr>
            <w:tcW w:w="4917" w:type="dxa"/>
            <w:tcBorders>
              <w:bottom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1.建设单位检查施工总包合同是否约定人工费用拨付比例和拨付周期；</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2.建设单位施工总包合同未约定人工费用拨付比例和拨付周期的是否签订补充协议。</w:t>
            </w:r>
          </w:p>
        </w:tc>
        <w:tc>
          <w:tcPr>
            <w:tcW w:w="4083"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施工总包合同应约定人工费用拨付比例和拨付周期（建设单位应每月往专户拨付工人工资，房建项目每月拨付比例不少于工程款的18%，市政项目每月拨付比例不少于工程款的13%）。</w:t>
            </w:r>
          </w:p>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施工总包合同未约定人工费用拨付比例和拨付周期的，总包单位与建设单位应签订补充协议，约定好人工费用拨付比例和拨付周期。</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restart"/>
            <w:vAlign w:val="center"/>
          </w:tcPr>
          <w:p>
            <w:pPr>
              <w:pStyle w:val="3"/>
              <w:widowControl/>
              <w:jc w:val="center"/>
              <w:rPr>
                <w:rFonts w:hint="eastAsia"/>
                <w:bCs/>
                <w:lang w:val="en-US" w:eastAsia="zh-CN"/>
              </w:rPr>
            </w:pPr>
          </w:p>
          <w:p>
            <w:pPr>
              <w:pStyle w:val="3"/>
              <w:widowControl/>
              <w:jc w:val="center"/>
              <w:rPr>
                <w:rFonts w:hint="eastAsia"/>
                <w:bCs/>
                <w:lang w:val="en-US" w:eastAsia="zh-CN"/>
              </w:rPr>
            </w:pPr>
          </w:p>
          <w:p>
            <w:pPr>
              <w:pStyle w:val="3"/>
              <w:widowControl/>
              <w:jc w:val="center"/>
              <w:rPr>
                <w:rFonts w:hint="eastAsia"/>
                <w:bCs/>
                <w:lang w:val="en-US" w:eastAsia="zh-CN"/>
              </w:rPr>
            </w:pPr>
          </w:p>
          <w:p>
            <w:pPr>
              <w:pStyle w:val="3"/>
              <w:widowControl/>
              <w:jc w:val="center"/>
              <w:rPr>
                <w:rFonts w:hint="eastAsia"/>
                <w:bCs/>
                <w:lang w:val="en-US" w:eastAsia="zh-CN"/>
              </w:rPr>
            </w:pPr>
          </w:p>
          <w:p>
            <w:pPr>
              <w:pStyle w:val="3"/>
              <w:widowControl/>
              <w:jc w:val="center"/>
              <w:rPr>
                <w:rFonts w:hint="eastAsia"/>
                <w:bCs/>
                <w:lang w:val="en-US" w:eastAsia="zh-CN"/>
              </w:rPr>
            </w:pPr>
          </w:p>
          <w:p>
            <w:pPr>
              <w:pStyle w:val="3"/>
              <w:widowControl/>
              <w:jc w:val="center"/>
              <w:rPr>
                <w:rFonts w:hint="eastAsia"/>
                <w:bCs/>
                <w:lang w:val="en-US" w:eastAsia="zh-CN"/>
              </w:rPr>
            </w:pPr>
          </w:p>
          <w:p>
            <w:pPr>
              <w:pStyle w:val="3"/>
              <w:widowControl/>
              <w:jc w:val="center"/>
              <w:rPr>
                <w:rFonts w:hint="default"/>
                <w:bCs/>
                <w:lang w:val="en-US" w:eastAsia="zh-CN"/>
              </w:rPr>
            </w:pPr>
            <w:r>
              <w:rPr>
                <w:rFonts w:hint="eastAsia"/>
                <w:bCs/>
                <w:lang w:val="en-US" w:eastAsia="zh-CN"/>
              </w:rPr>
              <w:t>总包单位填写</w:t>
            </w:r>
          </w:p>
        </w:tc>
        <w:tc>
          <w:tcPr>
            <w:tcW w:w="550" w:type="dxa"/>
            <w:tcBorders>
              <w:bottom w:val="single" w:color="auto" w:sz="4" w:space="0"/>
            </w:tcBorders>
            <w:vAlign w:val="center"/>
          </w:tcPr>
          <w:p>
            <w:pPr>
              <w:pStyle w:val="3"/>
              <w:widowControl/>
              <w:jc w:val="center"/>
              <w:rPr>
                <w:rFonts w:hint="default"/>
                <w:bCs/>
                <w:lang w:val="en-US" w:eastAsia="zh-CN"/>
              </w:rPr>
            </w:pPr>
            <w:r>
              <w:rPr>
                <w:rFonts w:hint="eastAsia"/>
                <w:bCs/>
                <w:lang w:val="en-US" w:eastAsia="zh-CN"/>
              </w:rPr>
              <w:t>5</w:t>
            </w:r>
          </w:p>
        </w:tc>
        <w:tc>
          <w:tcPr>
            <w:tcW w:w="2583" w:type="dxa"/>
            <w:tcBorders>
              <w:bottom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施工总包合同</w:t>
            </w:r>
          </w:p>
        </w:tc>
        <w:tc>
          <w:tcPr>
            <w:tcW w:w="4917" w:type="dxa"/>
            <w:tcBorders>
              <w:bottom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1.总包单位检查施工总包合同是否约定人工费用拨付比例和拨付周期；</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2.总包单位检查施工总包合同未约定人工费用拨付比例和拨付周期的是否签订补充协议。</w:t>
            </w:r>
          </w:p>
        </w:tc>
        <w:tc>
          <w:tcPr>
            <w:tcW w:w="4083"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施工总包合同应约定人工费用拨付比例和拨付周期（建设单位应每月往专户拨付工人工资，房建项目每月拨付比例不少于工程款的18%，市政项目每月拨付比例不少于工程款的13%）。</w:t>
            </w:r>
          </w:p>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施工总包合同未约定人工费用拨付比例和拨付周期的，总包单位与建设单位应签订补充协议，约定好人工费用拨付比例和拨付周期。</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continue"/>
            <w:vAlign w:val="center"/>
          </w:tcPr>
          <w:p>
            <w:pPr>
              <w:pStyle w:val="3"/>
              <w:widowControl/>
              <w:jc w:val="center"/>
              <w:rPr>
                <w:rFonts w:hint="default"/>
                <w:bCs/>
                <w:lang w:val="en-US" w:eastAsia="zh-CN"/>
              </w:rPr>
            </w:pPr>
          </w:p>
        </w:tc>
        <w:tc>
          <w:tcPr>
            <w:tcW w:w="550" w:type="dxa"/>
            <w:tcBorders>
              <w:bottom w:val="single" w:color="auto" w:sz="4" w:space="0"/>
            </w:tcBorders>
            <w:vAlign w:val="center"/>
          </w:tcPr>
          <w:p>
            <w:pPr>
              <w:pStyle w:val="3"/>
              <w:widowControl/>
              <w:jc w:val="center"/>
              <w:rPr>
                <w:rFonts w:hint="default" w:eastAsiaTheme="minorEastAsia"/>
                <w:bCs/>
                <w:lang w:val="en-US" w:eastAsia="zh-CN"/>
              </w:rPr>
            </w:pPr>
            <w:r>
              <w:rPr>
                <w:rFonts w:hint="eastAsia"/>
                <w:bCs/>
                <w:lang w:val="en-US" w:eastAsia="zh-CN"/>
              </w:rPr>
              <w:t>6</w:t>
            </w:r>
          </w:p>
        </w:tc>
        <w:tc>
          <w:tcPr>
            <w:tcW w:w="2583" w:type="dxa"/>
            <w:tcBorders>
              <w:bottom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委托工资支付协议</w:t>
            </w:r>
          </w:p>
        </w:tc>
        <w:tc>
          <w:tcPr>
            <w:tcW w:w="4917" w:type="dxa"/>
            <w:tcBorders>
              <w:bottom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1检查是否与所有分包单位签订委托工资支付协议</w:t>
            </w:r>
          </w:p>
        </w:tc>
        <w:tc>
          <w:tcPr>
            <w:tcW w:w="4083"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总包单位对农民工工资支付负总责，总包单位应与分包单位签订委托工资支付协议</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771" w:type="dxa"/>
            <w:vMerge w:val="continue"/>
            <w:vAlign w:val="center"/>
          </w:tcPr>
          <w:p>
            <w:pPr>
              <w:pStyle w:val="3"/>
              <w:widowControl/>
              <w:jc w:val="center"/>
              <w:rPr>
                <w:rFonts w:hint="eastAsia"/>
                <w:bCs/>
                <w:lang w:val="en-US" w:eastAsia="zh-CN"/>
              </w:rPr>
            </w:pPr>
          </w:p>
        </w:tc>
        <w:tc>
          <w:tcPr>
            <w:tcW w:w="550" w:type="dxa"/>
            <w:tcBorders>
              <w:top w:val="single" w:color="auto" w:sz="4" w:space="0"/>
            </w:tcBorders>
            <w:vAlign w:val="center"/>
          </w:tcPr>
          <w:p>
            <w:pPr>
              <w:pStyle w:val="3"/>
              <w:widowControl/>
              <w:jc w:val="center"/>
              <w:rPr>
                <w:rFonts w:hint="default" w:eastAsiaTheme="minorEastAsia"/>
                <w:bCs/>
                <w:lang w:val="en-US" w:eastAsia="zh-CN"/>
              </w:rPr>
            </w:pPr>
            <w:r>
              <w:rPr>
                <w:rFonts w:hint="eastAsia"/>
                <w:bCs/>
                <w:lang w:val="en-US" w:eastAsia="zh-CN"/>
              </w:rPr>
              <w:t>7</w:t>
            </w:r>
          </w:p>
        </w:tc>
        <w:tc>
          <w:tcPr>
            <w:tcW w:w="2583" w:type="dxa"/>
            <w:tcBorders>
              <w:top w:val="single" w:color="auto" w:sz="4" w:space="0"/>
            </w:tcBorders>
            <w:vAlign w:val="center"/>
          </w:tcPr>
          <w:p>
            <w:pPr>
              <w:pStyle w:val="3"/>
              <w:widowControl/>
              <w:spacing w:line="220" w:lineRule="exact"/>
              <w:rPr>
                <w:rFonts w:hint="eastAsia" w:ascii="宋体" w:hAnsi="宋体" w:cs="宋体"/>
                <w:sz w:val="20"/>
                <w:szCs w:val="20"/>
                <w:lang w:val="en-US" w:eastAsia="zh-CN"/>
              </w:rPr>
            </w:pPr>
            <w:r>
              <w:rPr>
                <w:rFonts w:hint="eastAsia" w:ascii="宋体" w:hAnsi="宋体" w:cs="宋体"/>
                <w:sz w:val="20"/>
                <w:szCs w:val="20"/>
                <w:lang w:val="en-US" w:eastAsia="zh-CN"/>
              </w:rPr>
              <w:t>在场人员实名制信息登记</w:t>
            </w:r>
          </w:p>
        </w:tc>
        <w:tc>
          <w:tcPr>
            <w:tcW w:w="4917" w:type="dxa"/>
            <w:tcBorders>
              <w:top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全面排查工程现场人员，是否通过i深建进行实名认证。</w:t>
            </w:r>
          </w:p>
        </w:tc>
        <w:tc>
          <w:tcPr>
            <w:tcW w:w="4083" w:type="dxa"/>
            <w:vAlign w:val="center"/>
          </w:tcPr>
          <w:p>
            <w:pPr>
              <w:jc w:val="both"/>
              <w:rPr>
                <w:rFonts w:hint="eastAsia"/>
                <w:b w:val="0"/>
                <w:bCs/>
                <w:sz w:val="20"/>
                <w:szCs w:val="22"/>
                <w:lang w:val="en-US" w:eastAsia="zh-CN"/>
              </w:rPr>
            </w:pPr>
            <w:r>
              <w:rPr>
                <w:rFonts w:hint="eastAsia"/>
                <w:b w:val="0"/>
                <w:bCs/>
                <w:sz w:val="20"/>
                <w:szCs w:val="22"/>
                <w:lang w:val="en-US" w:eastAsia="zh-CN"/>
              </w:rPr>
              <w:t>项目现场人员都需要通过i深建进行实名认证</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771" w:type="dxa"/>
            <w:vMerge w:val="continue"/>
            <w:vAlign w:val="center"/>
          </w:tcPr>
          <w:p>
            <w:pPr>
              <w:pStyle w:val="3"/>
              <w:widowControl/>
              <w:jc w:val="center"/>
              <w:rPr>
                <w:rFonts w:hint="eastAsia"/>
                <w:bCs/>
                <w:lang w:val="en-US" w:eastAsia="zh-CN"/>
              </w:rPr>
            </w:pPr>
          </w:p>
        </w:tc>
        <w:tc>
          <w:tcPr>
            <w:tcW w:w="550" w:type="dxa"/>
            <w:vMerge w:val="restart"/>
            <w:vAlign w:val="center"/>
          </w:tcPr>
          <w:p>
            <w:pPr>
              <w:pStyle w:val="3"/>
              <w:widowControl/>
              <w:jc w:val="center"/>
              <w:rPr>
                <w:rFonts w:hint="default" w:eastAsiaTheme="minorEastAsia"/>
                <w:bCs/>
                <w:lang w:val="en-US" w:eastAsia="zh-CN"/>
              </w:rPr>
            </w:pPr>
            <w:r>
              <w:rPr>
                <w:rFonts w:hint="eastAsia"/>
                <w:bCs/>
                <w:lang w:val="en-US" w:eastAsia="zh-CN"/>
              </w:rPr>
              <w:t>8</w:t>
            </w:r>
          </w:p>
        </w:tc>
        <w:tc>
          <w:tcPr>
            <w:tcW w:w="2583" w:type="dxa"/>
            <w:vMerge w:val="restart"/>
            <w:vAlign w:val="center"/>
          </w:tcPr>
          <w:p>
            <w:pPr>
              <w:numPr>
                <w:ilvl w:val="0"/>
                <w:numId w:val="0"/>
              </w:numPr>
              <w:jc w:val="both"/>
              <w:rPr>
                <w:rFonts w:hint="eastAsia" w:ascii="宋体" w:hAnsi="宋体" w:cs="宋体"/>
                <w:kern w:val="0"/>
                <w:sz w:val="20"/>
                <w:szCs w:val="20"/>
                <w:lang w:val="en-US" w:eastAsia="zh-CN"/>
              </w:rPr>
            </w:pPr>
          </w:p>
          <w:p>
            <w:pPr>
              <w:numPr>
                <w:ilvl w:val="0"/>
                <w:numId w:val="0"/>
              </w:numPr>
              <w:jc w:val="both"/>
              <w:rPr>
                <w:rFonts w:hint="eastAsia" w:ascii="宋体" w:hAnsi="宋体" w:cs="宋体"/>
                <w:kern w:val="0"/>
                <w:sz w:val="20"/>
                <w:szCs w:val="20"/>
                <w:lang w:val="en-US" w:eastAsia="zh-CN"/>
              </w:rPr>
            </w:pPr>
          </w:p>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关键岗位管理人员到岗履职</w:t>
            </w:r>
          </w:p>
        </w:tc>
        <w:tc>
          <w:tcPr>
            <w:tcW w:w="4917" w:type="dxa"/>
            <w:tcBorders>
              <w:bottom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登录“两制”平台“管理人员履职备案”模块，查看关键岗位管理人员资质证书上的注册企业与“管理人员履职备案”模块的所属企业信息是否一致。</w:t>
            </w:r>
          </w:p>
        </w:tc>
        <w:tc>
          <w:tcPr>
            <w:tcW w:w="4083" w:type="dxa"/>
            <w:tcBorders>
              <w:bottom w:val="single" w:color="auto" w:sz="4" w:space="0"/>
            </w:tcBorders>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所有关键岗位管理人员的资质证书上的注册企业与“两制”平台“管理人员履职备案”模块备案的所属企业一致。</w:t>
            </w:r>
          </w:p>
        </w:tc>
        <w:tc>
          <w:tcPr>
            <w:tcW w:w="1233" w:type="dxa"/>
            <w:tcBorders>
              <w:bottom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771" w:type="dxa"/>
            <w:vMerge w:val="continue"/>
            <w:vAlign w:val="center"/>
          </w:tcPr>
          <w:p>
            <w:pPr>
              <w:pStyle w:val="3"/>
              <w:widowControl/>
              <w:jc w:val="center"/>
              <w:rPr>
                <w:rFonts w:hint="eastAsia"/>
                <w:bCs/>
              </w:rPr>
            </w:pPr>
          </w:p>
        </w:tc>
        <w:tc>
          <w:tcPr>
            <w:tcW w:w="550" w:type="dxa"/>
            <w:vMerge w:val="continue"/>
            <w:vAlign w:val="center"/>
          </w:tcPr>
          <w:p>
            <w:pPr>
              <w:pStyle w:val="3"/>
              <w:widowControl/>
              <w:jc w:val="center"/>
              <w:rPr>
                <w:rFonts w:hint="eastAsia"/>
                <w:bCs/>
              </w:rPr>
            </w:pPr>
          </w:p>
        </w:tc>
        <w:tc>
          <w:tcPr>
            <w:tcW w:w="2583" w:type="dxa"/>
            <w:vMerge w:val="continue"/>
            <w:vAlign w:val="center"/>
          </w:tcPr>
          <w:p>
            <w:pPr>
              <w:numPr>
                <w:ilvl w:val="0"/>
                <w:numId w:val="0"/>
              </w:numPr>
              <w:jc w:val="both"/>
              <w:rPr>
                <w:rFonts w:hint="eastAsia" w:ascii="宋体" w:hAnsi="宋体" w:cs="宋体"/>
                <w:kern w:val="0"/>
                <w:sz w:val="20"/>
                <w:szCs w:val="20"/>
                <w:lang w:val="en-US" w:eastAsia="zh-CN"/>
              </w:rPr>
            </w:pPr>
          </w:p>
        </w:tc>
        <w:tc>
          <w:tcPr>
            <w:tcW w:w="4917"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查看“管理人员履职备案”模块的关键岗位人员考勤数据，查看关键岗位管理人员是否按时考勤打卡。</w:t>
            </w:r>
          </w:p>
        </w:tc>
        <w:tc>
          <w:tcPr>
            <w:tcW w:w="408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项目经理每月考勤率不低于80%，其他六大类关键岗位管理人员每月考勤率不低于60%。</w:t>
            </w:r>
          </w:p>
        </w:tc>
        <w:tc>
          <w:tcPr>
            <w:tcW w:w="1233" w:type="dxa"/>
            <w:tcBorders>
              <w:top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771" w:type="dxa"/>
            <w:vMerge w:val="continue"/>
            <w:vAlign w:val="center"/>
          </w:tcPr>
          <w:p>
            <w:pPr>
              <w:pStyle w:val="3"/>
              <w:widowControl/>
              <w:jc w:val="center"/>
              <w:rPr>
                <w:rFonts w:hint="eastAsia"/>
                <w:bCs/>
                <w:lang w:val="en-US" w:eastAsia="zh-CN"/>
              </w:rPr>
            </w:pPr>
          </w:p>
        </w:tc>
        <w:tc>
          <w:tcPr>
            <w:tcW w:w="550" w:type="dxa"/>
            <w:vMerge w:val="restart"/>
            <w:vAlign w:val="center"/>
          </w:tcPr>
          <w:p>
            <w:pPr>
              <w:pStyle w:val="3"/>
              <w:widowControl/>
              <w:jc w:val="center"/>
              <w:rPr>
                <w:rFonts w:hint="default" w:eastAsiaTheme="minorEastAsia"/>
                <w:bCs/>
                <w:lang w:val="en-US" w:eastAsia="zh-CN"/>
              </w:rPr>
            </w:pPr>
            <w:r>
              <w:rPr>
                <w:rFonts w:hint="eastAsia"/>
                <w:bCs/>
                <w:lang w:val="en-US" w:eastAsia="zh-CN"/>
              </w:rPr>
              <w:t>9</w:t>
            </w:r>
          </w:p>
        </w:tc>
        <w:tc>
          <w:tcPr>
            <w:tcW w:w="2583" w:type="dxa"/>
            <w:vMerge w:val="restart"/>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劳务人员实名信息更新</w:t>
            </w:r>
          </w:p>
        </w:tc>
        <w:tc>
          <w:tcPr>
            <w:tcW w:w="4917" w:type="dxa"/>
            <w:tcBorders>
              <w:bottom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登录“两制”平台“工程现场管理”模块，结合工人花名册，检查花名册上的劳务工人，是否实时更新实名信息（在场人员通过i深建同步到“两制”平台且状态是否在场，退场人员状态是否为退场）。</w:t>
            </w:r>
          </w:p>
        </w:tc>
        <w:tc>
          <w:tcPr>
            <w:tcW w:w="4083" w:type="dxa"/>
            <w:tcBorders>
              <w:bottom w:val="single" w:color="auto" w:sz="4" w:space="0"/>
            </w:tcBorders>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花名册上的劳务人员信息维护准确</w:t>
            </w:r>
          </w:p>
          <w:p>
            <w:pPr>
              <w:numPr>
                <w:ilvl w:val="0"/>
                <w:numId w:val="0"/>
              </w:numPr>
              <w:jc w:val="both"/>
              <w:rPr>
                <w:rFonts w:hint="default" w:ascii="宋体" w:hAnsi="宋体" w:cs="宋体"/>
                <w:kern w:val="0"/>
                <w:sz w:val="20"/>
                <w:szCs w:val="20"/>
                <w:lang w:val="en-US" w:eastAsia="zh-CN"/>
              </w:rPr>
            </w:pPr>
          </w:p>
        </w:tc>
        <w:tc>
          <w:tcPr>
            <w:tcW w:w="1233" w:type="dxa"/>
            <w:tcBorders>
              <w:bottom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771" w:type="dxa"/>
            <w:vMerge w:val="continue"/>
            <w:vAlign w:val="center"/>
          </w:tcPr>
          <w:p>
            <w:pPr>
              <w:pStyle w:val="3"/>
              <w:widowControl/>
              <w:jc w:val="center"/>
              <w:rPr>
                <w:rFonts w:hint="eastAsia"/>
                <w:bCs/>
              </w:rPr>
            </w:pPr>
          </w:p>
        </w:tc>
        <w:tc>
          <w:tcPr>
            <w:tcW w:w="550" w:type="dxa"/>
            <w:vMerge w:val="continue"/>
            <w:vAlign w:val="center"/>
          </w:tcPr>
          <w:p>
            <w:pPr>
              <w:pStyle w:val="3"/>
              <w:widowControl/>
              <w:jc w:val="center"/>
              <w:rPr>
                <w:rFonts w:hint="eastAsia"/>
                <w:bCs/>
              </w:rPr>
            </w:pPr>
          </w:p>
        </w:tc>
        <w:tc>
          <w:tcPr>
            <w:tcW w:w="2583" w:type="dxa"/>
            <w:vMerge w:val="continue"/>
            <w:vAlign w:val="center"/>
          </w:tcPr>
          <w:p>
            <w:pPr>
              <w:numPr>
                <w:ilvl w:val="0"/>
                <w:numId w:val="0"/>
              </w:numPr>
              <w:jc w:val="both"/>
              <w:rPr>
                <w:rFonts w:hint="eastAsia" w:ascii="宋体" w:hAnsi="宋体" w:cs="宋体"/>
                <w:kern w:val="0"/>
                <w:sz w:val="20"/>
                <w:szCs w:val="20"/>
                <w:lang w:val="en-US" w:eastAsia="zh-CN"/>
              </w:rPr>
            </w:pPr>
          </w:p>
        </w:tc>
        <w:tc>
          <w:tcPr>
            <w:tcW w:w="4917"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登录“两制”平台首页，查看“两制”平台首页，在场劳务人员考勤率是否达标。</w:t>
            </w:r>
          </w:p>
        </w:tc>
        <w:tc>
          <w:tcPr>
            <w:tcW w:w="408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在场劳务人员每日考勤率不低于60%(当日考勤人数/在场人数)</w:t>
            </w:r>
          </w:p>
        </w:tc>
        <w:tc>
          <w:tcPr>
            <w:tcW w:w="1233" w:type="dxa"/>
            <w:tcBorders>
              <w:top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771" w:type="dxa"/>
            <w:vMerge w:val="continue"/>
            <w:vAlign w:val="center"/>
          </w:tcPr>
          <w:p>
            <w:pPr>
              <w:pStyle w:val="3"/>
              <w:widowControl/>
              <w:jc w:val="center"/>
              <w:rPr>
                <w:rFonts w:hint="eastAsia"/>
                <w:bCs/>
                <w:lang w:val="en-US" w:eastAsia="zh-CN"/>
              </w:rPr>
            </w:pPr>
          </w:p>
        </w:tc>
        <w:tc>
          <w:tcPr>
            <w:tcW w:w="550" w:type="dxa"/>
            <w:vAlign w:val="center"/>
          </w:tcPr>
          <w:p>
            <w:pPr>
              <w:pStyle w:val="3"/>
              <w:widowControl/>
              <w:jc w:val="center"/>
              <w:rPr>
                <w:rFonts w:hint="default" w:eastAsiaTheme="minorEastAsia"/>
                <w:bCs/>
                <w:lang w:val="en-US" w:eastAsia="zh-CN"/>
              </w:rPr>
            </w:pPr>
            <w:r>
              <w:rPr>
                <w:rFonts w:hint="eastAsia"/>
                <w:bCs/>
                <w:lang w:val="en-US" w:eastAsia="zh-CN"/>
              </w:rPr>
              <w:t>10</w:t>
            </w:r>
          </w:p>
        </w:tc>
        <w:tc>
          <w:tcPr>
            <w:tcW w:w="2583" w:type="dxa"/>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施工总承包企业开设专户，并与建设单位、银行签订“专户监管协议”</w:t>
            </w:r>
          </w:p>
        </w:tc>
        <w:tc>
          <w:tcPr>
            <w:tcW w:w="4917"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1.检查“专户监管协议”原件和施工总包合同，查看“专户监管协议”原件里的三方单位盖章、日期、工程名称等信息是否准确完善；</w:t>
            </w:r>
          </w:p>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2.登录“两制”平台“工资专户备案”模块，查看协议里的专户账号与“两制”平台备案的专户账号是否一致；</w:t>
            </w:r>
          </w:p>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3.查看专户发放流水银行凭证，检查“专户监管协议”里的专户账号与“两制”平台备案的专户账号以及与专户发放流水银行凭证的专户账号是否一致。</w:t>
            </w:r>
          </w:p>
        </w:tc>
        <w:tc>
          <w:tcPr>
            <w:tcW w:w="408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1.协议里的工程项目名称必须与施工总包合同的工程项目名称一致，且三方单位均盖章，相关信息都已完善；</w:t>
            </w:r>
          </w:p>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2.协议里的专户账号必须与专户发放工资的银行流水凭证的专户账号、“两制”平台备案的专户账号一致。</w:t>
            </w:r>
          </w:p>
        </w:tc>
        <w:tc>
          <w:tcPr>
            <w:tcW w:w="1233" w:type="dxa"/>
            <w:tcBorders>
              <w:top w:val="single" w:color="auto" w:sz="4" w:space="0"/>
            </w:tcBorders>
            <w:vAlign w:val="center"/>
          </w:tcPr>
          <w:p>
            <w:pPr>
              <w:numPr>
                <w:ilvl w:val="0"/>
                <w:numId w:val="0"/>
              </w:numPr>
              <w:ind w:left="0" w:leftChars="0" w:firstLine="0" w:firstLineChars="0"/>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771" w:type="dxa"/>
            <w:vMerge w:val="continue"/>
            <w:vAlign w:val="center"/>
          </w:tcPr>
          <w:p>
            <w:pPr>
              <w:pStyle w:val="3"/>
              <w:widowControl/>
              <w:jc w:val="center"/>
              <w:rPr>
                <w:rFonts w:hint="eastAsia"/>
                <w:bCs/>
                <w:lang w:val="en-US" w:eastAsia="zh-CN"/>
              </w:rPr>
            </w:pPr>
          </w:p>
        </w:tc>
        <w:tc>
          <w:tcPr>
            <w:tcW w:w="550" w:type="dxa"/>
            <w:vMerge w:val="restart"/>
            <w:vAlign w:val="center"/>
          </w:tcPr>
          <w:p>
            <w:pPr>
              <w:pStyle w:val="3"/>
              <w:widowControl/>
              <w:jc w:val="center"/>
              <w:rPr>
                <w:rFonts w:hint="default"/>
                <w:bCs/>
                <w:lang w:val="en-US" w:eastAsia="zh-CN"/>
              </w:rPr>
            </w:pPr>
            <w:r>
              <w:rPr>
                <w:rFonts w:hint="eastAsia"/>
                <w:bCs/>
                <w:lang w:val="en-US" w:eastAsia="zh-CN"/>
              </w:rPr>
              <w:t>11</w:t>
            </w:r>
          </w:p>
        </w:tc>
        <w:tc>
          <w:tcPr>
            <w:tcW w:w="2583" w:type="dxa"/>
            <w:vMerge w:val="restart"/>
            <w:vAlign w:val="center"/>
          </w:tcPr>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总包单位通过专户按月足额发放工人工资。工资流水通过专户银行同步到两制平台。</w:t>
            </w:r>
          </w:p>
        </w:tc>
        <w:tc>
          <w:tcPr>
            <w:tcW w:w="4917"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1.检查连续3个月及以上的通过专户发放工人工资的银行流水凭证；</w:t>
            </w:r>
          </w:p>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2.检查在场所有劳务人员的劳动合同，查看工人实际工价和劳动合同约定的工价是否一致，所有工人应发工资和银行流水金额是否一致。</w:t>
            </w:r>
          </w:p>
        </w:tc>
        <w:tc>
          <w:tcPr>
            <w:tcW w:w="408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1.总包单位需通过工资专户按月、足额发放工人工资；</w:t>
            </w:r>
          </w:p>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2.工人应发工资与银行流水显示的实际发放工资必须一致。</w:t>
            </w:r>
          </w:p>
        </w:tc>
        <w:tc>
          <w:tcPr>
            <w:tcW w:w="1233" w:type="dxa"/>
            <w:tcBorders>
              <w:top w:val="single" w:color="auto" w:sz="4" w:space="0"/>
            </w:tcBorders>
            <w:vAlign w:val="center"/>
          </w:tcPr>
          <w:p>
            <w:pPr>
              <w:numPr>
                <w:ilvl w:val="0"/>
                <w:numId w:val="0"/>
              </w:numPr>
              <w:ind w:left="0" w:leftChars="0" w:firstLine="0" w:firstLineChars="0"/>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6" w:hRule="atLeast"/>
        </w:trPr>
        <w:tc>
          <w:tcPr>
            <w:tcW w:w="771" w:type="dxa"/>
            <w:vMerge w:val="continue"/>
            <w:vAlign w:val="center"/>
          </w:tcPr>
          <w:p>
            <w:pPr>
              <w:pStyle w:val="3"/>
              <w:widowControl/>
              <w:jc w:val="center"/>
              <w:rPr>
                <w:rFonts w:hint="eastAsia"/>
                <w:bCs/>
                <w:lang w:val="en-US" w:eastAsia="zh-CN"/>
              </w:rPr>
            </w:pPr>
          </w:p>
        </w:tc>
        <w:tc>
          <w:tcPr>
            <w:tcW w:w="550" w:type="dxa"/>
            <w:vMerge w:val="continue"/>
            <w:vAlign w:val="center"/>
          </w:tcPr>
          <w:p>
            <w:pPr>
              <w:pStyle w:val="3"/>
              <w:widowControl/>
              <w:jc w:val="center"/>
              <w:rPr>
                <w:rFonts w:hint="eastAsia"/>
                <w:bCs/>
                <w:lang w:val="en-US" w:eastAsia="zh-CN"/>
              </w:rPr>
            </w:pPr>
          </w:p>
        </w:tc>
        <w:tc>
          <w:tcPr>
            <w:tcW w:w="2583" w:type="dxa"/>
            <w:vMerge w:val="continue"/>
            <w:vAlign w:val="center"/>
          </w:tcPr>
          <w:p>
            <w:pPr>
              <w:numPr>
                <w:ilvl w:val="0"/>
                <w:numId w:val="0"/>
              </w:numPr>
              <w:jc w:val="both"/>
              <w:rPr>
                <w:rFonts w:hint="eastAsia" w:ascii="宋体" w:hAnsi="宋体" w:cs="宋体"/>
                <w:kern w:val="0"/>
                <w:sz w:val="20"/>
                <w:szCs w:val="20"/>
                <w:lang w:val="en-US" w:eastAsia="zh-CN"/>
              </w:rPr>
            </w:pPr>
          </w:p>
        </w:tc>
        <w:tc>
          <w:tcPr>
            <w:tcW w:w="4917" w:type="dxa"/>
            <w:tcBorders>
              <w:top w:val="single" w:color="auto" w:sz="4" w:space="0"/>
            </w:tcBorders>
            <w:vAlign w:val="center"/>
          </w:tcPr>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登录“两制”平台“工资明细”模块，检查所有工人银行流水数据是否与“两制”平台显示的工人工资数据一致。</w:t>
            </w:r>
          </w:p>
        </w:tc>
        <w:tc>
          <w:tcPr>
            <w:tcW w:w="4083" w:type="dxa"/>
            <w:tcBorders>
              <w:top w:val="single" w:color="auto" w:sz="4" w:space="0"/>
            </w:tcBorders>
            <w:vAlign w:val="center"/>
          </w:tcPr>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工人银行流水里的工资数据必须与“两制”平台显示的工人工资数据一致。</w:t>
            </w:r>
          </w:p>
        </w:tc>
        <w:tc>
          <w:tcPr>
            <w:tcW w:w="1233" w:type="dxa"/>
            <w:tcBorders>
              <w:top w:val="single" w:color="auto" w:sz="4" w:space="0"/>
            </w:tcBorders>
            <w:vAlign w:val="center"/>
          </w:tcPr>
          <w:p>
            <w:pPr>
              <w:numPr>
                <w:ilvl w:val="0"/>
                <w:numId w:val="0"/>
              </w:numPr>
              <w:ind w:left="0" w:leftChars="0" w:firstLine="0" w:firstLineChars="0"/>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771" w:type="dxa"/>
            <w:vMerge w:val="continue"/>
            <w:vAlign w:val="center"/>
          </w:tcPr>
          <w:p>
            <w:pPr>
              <w:pStyle w:val="3"/>
              <w:widowControl/>
              <w:jc w:val="center"/>
              <w:rPr>
                <w:rFonts w:hint="eastAsia"/>
                <w:bCs/>
                <w:lang w:val="en-US" w:eastAsia="zh-CN"/>
              </w:rPr>
            </w:pPr>
          </w:p>
        </w:tc>
        <w:tc>
          <w:tcPr>
            <w:tcW w:w="550" w:type="dxa"/>
            <w:vAlign w:val="center"/>
          </w:tcPr>
          <w:p>
            <w:pPr>
              <w:pStyle w:val="3"/>
              <w:widowControl/>
              <w:jc w:val="center"/>
              <w:rPr>
                <w:rFonts w:hint="default"/>
                <w:bCs/>
                <w:lang w:val="en-US" w:eastAsia="zh-CN"/>
              </w:rPr>
            </w:pPr>
            <w:r>
              <w:rPr>
                <w:rFonts w:hint="eastAsia"/>
                <w:bCs/>
                <w:lang w:val="en-US" w:eastAsia="zh-CN"/>
              </w:rPr>
              <w:t>12</w:t>
            </w:r>
          </w:p>
        </w:tc>
        <w:tc>
          <w:tcPr>
            <w:tcW w:w="2583"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总包单位落实用工管理台账</w:t>
            </w:r>
          </w:p>
        </w:tc>
        <w:tc>
          <w:tcPr>
            <w:tcW w:w="4917" w:type="dxa"/>
            <w:tcBorders>
              <w:top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1.检查是否有各分包单位编制的工人工资表和考勤表，并有劳务人员本人签字</w:t>
            </w:r>
          </w:p>
        </w:tc>
        <w:tc>
          <w:tcPr>
            <w:tcW w:w="4083" w:type="dxa"/>
            <w:tcBorders>
              <w:top w:val="single" w:color="auto" w:sz="4" w:space="0"/>
            </w:tcBorders>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总包单位应按月收集分包单位工人工资表和考勤表，并有劳务人员本人签字</w:t>
            </w:r>
          </w:p>
        </w:tc>
        <w:tc>
          <w:tcPr>
            <w:tcW w:w="1233" w:type="dxa"/>
            <w:tcBorders>
              <w:top w:val="single" w:color="auto" w:sz="4" w:space="0"/>
            </w:tcBorders>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771" w:type="dxa"/>
            <w:vMerge w:val="continue"/>
            <w:vAlign w:val="center"/>
          </w:tcPr>
          <w:p>
            <w:pPr>
              <w:pStyle w:val="3"/>
              <w:widowControl/>
              <w:jc w:val="center"/>
              <w:rPr>
                <w:rFonts w:hint="eastAsia" w:ascii="宋体" w:hAnsi="宋体" w:eastAsia="宋体" w:cs="宋体"/>
                <w:bCs/>
                <w:lang w:val="en-US" w:eastAsia="zh-CN"/>
              </w:rPr>
            </w:pPr>
          </w:p>
        </w:tc>
        <w:tc>
          <w:tcPr>
            <w:tcW w:w="550" w:type="dxa"/>
            <w:vMerge w:val="restart"/>
            <w:vAlign w:val="center"/>
          </w:tcPr>
          <w:p>
            <w:pPr>
              <w:pStyle w:val="3"/>
              <w:widowControl/>
              <w:jc w:val="center"/>
              <w:rPr>
                <w:rFonts w:hint="default" w:ascii="宋体" w:hAnsi="宋体" w:eastAsia="宋体" w:cs="宋体"/>
                <w:bCs/>
                <w:lang w:val="en-US" w:eastAsia="zh-CN"/>
              </w:rPr>
            </w:pPr>
            <w:r>
              <w:rPr>
                <w:rFonts w:hint="eastAsia"/>
                <w:bCs/>
                <w:lang w:val="en-US" w:eastAsia="zh-CN"/>
              </w:rPr>
              <w:t>13</w:t>
            </w:r>
          </w:p>
        </w:tc>
        <w:tc>
          <w:tcPr>
            <w:tcW w:w="2583" w:type="dxa"/>
            <w:vMerge w:val="restart"/>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班组管理</w:t>
            </w:r>
          </w:p>
        </w:tc>
        <w:tc>
          <w:tcPr>
            <w:tcW w:w="4917" w:type="dxa"/>
            <w:tcBorders>
              <w:bottom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查看i深建班组统计模块，排查是否所有劳务班组都通过i深建进行班组维护，信息完整且归类准确。</w:t>
            </w:r>
          </w:p>
        </w:tc>
        <w:tc>
          <w:tcPr>
            <w:tcW w:w="4083" w:type="dxa"/>
            <w:tcBorders>
              <w:bottom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在场劳务工纳入班组比例不得低于90%</w:t>
            </w:r>
          </w:p>
        </w:tc>
        <w:tc>
          <w:tcPr>
            <w:tcW w:w="1233" w:type="dxa"/>
            <w:tcBorders>
              <w:bottom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771" w:type="dxa"/>
            <w:vMerge w:val="continue"/>
            <w:vAlign w:val="center"/>
          </w:tcPr>
          <w:p>
            <w:pPr>
              <w:pStyle w:val="3"/>
              <w:widowControl/>
              <w:jc w:val="center"/>
              <w:rPr>
                <w:rFonts w:hint="eastAsia" w:ascii="宋体" w:hAnsi="宋体" w:eastAsia="宋体" w:cs="宋体"/>
                <w:bCs/>
              </w:rPr>
            </w:pPr>
          </w:p>
        </w:tc>
        <w:tc>
          <w:tcPr>
            <w:tcW w:w="550" w:type="dxa"/>
            <w:vMerge w:val="continue"/>
            <w:vAlign w:val="center"/>
          </w:tcPr>
          <w:p>
            <w:pPr>
              <w:pStyle w:val="3"/>
              <w:widowControl/>
              <w:jc w:val="center"/>
              <w:rPr>
                <w:rFonts w:hint="eastAsia" w:ascii="宋体" w:hAnsi="宋体" w:eastAsia="宋体" w:cs="宋体"/>
                <w:bCs/>
              </w:rPr>
            </w:pPr>
          </w:p>
        </w:tc>
        <w:tc>
          <w:tcPr>
            <w:tcW w:w="2583" w:type="dxa"/>
            <w:vMerge w:val="continue"/>
            <w:vAlign w:val="center"/>
          </w:tcPr>
          <w:p>
            <w:pPr>
              <w:numPr>
                <w:ilvl w:val="0"/>
                <w:numId w:val="0"/>
              </w:numPr>
              <w:jc w:val="both"/>
              <w:rPr>
                <w:rFonts w:hint="eastAsia" w:ascii="宋体" w:hAnsi="宋体" w:cs="宋体"/>
                <w:kern w:val="0"/>
                <w:sz w:val="20"/>
                <w:szCs w:val="20"/>
                <w:lang w:val="en-US" w:eastAsia="zh-CN"/>
              </w:rPr>
            </w:pPr>
          </w:p>
        </w:tc>
        <w:tc>
          <w:tcPr>
            <w:tcW w:w="4917"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查看是否在i深建按时完成劳务班组综合评价</w:t>
            </w:r>
          </w:p>
        </w:tc>
        <w:tc>
          <w:tcPr>
            <w:tcW w:w="408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所有班组都要进行综合评价</w:t>
            </w:r>
          </w:p>
        </w:tc>
        <w:tc>
          <w:tcPr>
            <w:tcW w:w="1233" w:type="dxa"/>
            <w:tcBorders>
              <w:top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4" w:hRule="atLeast"/>
        </w:trPr>
        <w:tc>
          <w:tcPr>
            <w:tcW w:w="771" w:type="dxa"/>
            <w:vMerge w:val="continue"/>
            <w:vAlign w:val="center"/>
          </w:tcPr>
          <w:p>
            <w:pPr>
              <w:pStyle w:val="3"/>
              <w:widowControl/>
              <w:jc w:val="center"/>
              <w:rPr>
                <w:rFonts w:hint="eastAsia" w:ascii="宋体" w:hAnsi="宋体" w:eastAsia="宋体" w:cs="宋体"/>
                <w:bCs/>
                <w:lang w:val="en-US" w:eastAsia="zh-CN"/>
              </w:rPr>
            </w:pPr>
          </w:p>
        </w:tc>
        <w:tc>
          <w:tcPr>
            <w:tcW w:w="550" w:type="dxa"/>
            <w:vAlign w:val="center"/>
          </w:tcPr>
          <w:p>
            <w:pPr>
              <w:pStyle w:val="3"/>
              <w:widowControl/>
              <w:jc w:val="center"/>
              <w:rPr>
                <w:rFonts w:hint="default" w:ascii="宋体" w:hAnsi="宋体" w:eastAsia="宋体" w:cs="宋体"/>
                <w:bCs/>
                <w:lang w:val="en-US" w:eastAsia="zh-CN"/>
              </w:rPr>
            </w:pPr>
            <w:r>
              <w:rPr>
                <w:rFonts w:hint="eastAsia"/>
                <w:bCs/>
                <w:lang w:val="en-US" w:eastAsia="zh-CN"/>
              </w:rPr>
              <w:t>14</w:t>
            </w:r>
          </w:p>
        </w:tc>
        <w:tc>
          <w:tcPr>
            <w:tcW w:w="2583" w:type="dxa"/>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维权信息告示牌</w:t>
            </w:r>
          </w:p>
        </w:tc>
        <w:tc>
          <w:tcPr>
            <w:tcW w:w="4917"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1.检查项目现场人员出入口是否设置维权信息告示牌，且信息完善。</w:t>
            </w:r>
          </w:p>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2.检查维权信息告示牌是否当月张贴了上月工人考勤和工资发放明细。</w:t>
            </w:r>
          </w:p>
        </w:tc>
        <w:tc>
          <w:tcPr>
            <w:tcW w:w="408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1.项目现场人员出入口必须设置维权信息告示牌，且维权电话，主管单位等相关信息完善；</w:t>
            </w:r>
          </w:p>
          <w:p>
            <w:pPr>
              <w:numPr>
                <w:ilvl w:val="0"/>
                <w:numId w:val="0"/>
              </w:numPr>
              <w:ind w:left="0" w:leftChars="0" w:firstLine="0" w:firstLineChars="0"/>
              <w:jc w:val="both"/>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2.项目每月必须在维权信息告示牌张贴上月工人考勤和工资发放明细，往月记录应通过照片或相关文件进行保留存档。</w:t>
            </w:r>
          </w:p>
        </w:tc>
        <w:tc>
          <w:tcPr>
            <w:tcW w:w="1233" w:type="dxa"/>
            <w:tcBorders>
              <w:top w:val="single" w:color="auto" w:sz="4" w:space="0"/>
            </w:tcBorders>
            <w:vAlign w:val="center"/>
          </w:tcPr>
          <w:p>
            <w:pPr>
              <w:numPr>
                <w:ilvl w:val="0"/>
                <w:numId w:val="0"/>
              </w:numPr>
              <w:ind w:left="0" w:leftChars="0" w:firstLine="0" w:firstLineChars="0"/>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71" w:type="dxa"/>
            <w:vMerge w:val="continue"/>
            <w:vAlign w:val="center"/>
          </w:tcPr>
          <w:p>
            <w:pPr>
              <w:pStyle w:val="3"/>
              <w:widowControl/>
              <w:jc w:val="center"/>
              <w:rPr>
                <w:rFonts w:hint="eastAsia" w:ascii="宋体" w:hAnsi="宋体" w:eastAsia="宋体" w:cs="宋体"/>
                <w:bCs/>
                <w:lang w:val="en-US" w:eastAsia="zh-CN"/>
              </w:rPr>
            </w:pPr>
          </w:p>
        </w:tc>
        <w:tc>
          <w:tcPr>
            <w:tcW w:w="550" w:type="dxa"/>
            <w:vAlign w:val="center"/>
          </w:tcPr>
          <w:p>
            <w:pPr>
              <w:pStyle w:val="3"/>
              <w:widowControl/>
              <w:jc w:val="center"/>
              <w:rPr>
                <w:rFonts w:hint="default" w:ascii="宋体" w:hAnsi="宋体" w:eastAsia="宋体" w:cs="宋体"/>
                <w:bCs/>
                <w:lang w:val="en-US" w:eastAsia="zh-CN"/>
              </w:rPr>
            </w:pPr>
            <w:r>
              <w:rPr>
                <w:rFonts w:hint="eastAsia"/>
                <w:bCs/>
                <w:lang w:val="en-US" w:eastAsia="zh-CN"/>
              </w:rPr>
              <w:t>15</w:t>
            </w:r>
          </w:p>
        </w:tc>
        <w:tc>
          <w:tcPr>
            <w:tcW w:w="2583" w:type="dxa"/>
            <w:vAlign w:val="center"/>
          </w:tcPr>
          <w:p>
            <w:pPr>
              <w:numPr>
                <w:ilvl w:val="0"/>
                <w:numId w:val="0"/>
              </w:numPr>
              <w:ind w:left="0" w:leftChars="0" w:firstLine="0" w:firstLineChars="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施工总承包单位在施工现场配备劳资专管员</w:t>
            </w:r>
          </w:p>
        </w:tc>
        <w:tc>
          <w:tcPr>
            <w:tcW w:w="4917"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1.检查劳资专管员是否有劳资专管员任命书；</w:t>
            </w:r>
          </w:p>
          <w:p>
            <w:pPr>
              <w:numPr>
                <w:ilvl w:val="0"/>
                <w:numId w:val="0"/>
              </w:numPr>
              <w:ind w:left="0" w:leftChars="0" w:firstLine="0" w:firstLineChars="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2.登录“两制”平台“管理人员履职模块”，检查任命书上的劳资专管员信息与“两制”平台上的“管理人员履职”模块备案的劳资专管员信息是否一致；</w:t>
            </w:r>
          </w:p>
        </w:tc>
        <w:tc>
          <w:tcPr>
            <w:tcW w:w="4083" w:type="dxa"/>
            <w:tcBorders>
              <w:top w:val="single" w:color="auto" w:sz="4" w:space="0"/>
            </w:tcBorders>
            <w:vAlign w:val="center"/>
          </w:tcPr>
          <w:p>
            <w:pPr>
              <w:numPr>
                <w:ilvl w:val="0"/>
                <w:numId w:val="0"/>
              </w:numPr>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1.劳资专管员应有任命书，并盖总包单位企业章；</w:t>
            </w:r>
          </w:p>
          <w:p>
            <w:pPr>
              <w:numPr>
                <w:ilvl w:val="0"/>
                <w:numId w:val="0"/>
              </w:numPr>
              <w:ind w:left="0" w:leftChars="0" w:firstLine="0" w:firstLineChars="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2.任命的劳资专管员应与“两制”平台上的“管理人员履职”模块备案的劳资专管员信息一致。</w:t>
            </w:r>
          </w:p>
        </w:tc>
        <w:tc>
          <w:tcPr>
            <w:tcW w:w="1233" w:type="dxa"/>
            <w:tcBorders>
              <w:top w:val="single" w:color="auto" w:sz="4" w:space="0"/>
            </w:tcBorders>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1" w:type="dxa"/>
            <w:tcBorders>
              <w:top w:val="single" w:color="auto" w:sz="4" w:space="0"/>
            </w:tcBorders>
            <w:vAlign w:val="center"/>
          </w:tcPr>
          <w:p>
            <w:pPr>
              <w:pStyle w:val="3"/>
              <w:widowControl/>
              <w:jc w:val="center"/>
              <w:rPr>
                <w:rFonts w:hint="default" w:ascii="宋体" w:hAnsi="宋体" w:eastAsia="宋体" w:cs="宋体"/>
                <w:bCs/>
                <w:lang w:val="en-US" w:eastAsia="zh-CN"/>
              </w:rPr>
            </w:pPr>
            <w:r>
              <w:rPr>
                <w:rFonts w:hint="eastAsia" w:ascii="宋体" w:hAnsi="宋体" w:eastAsia="宋体" w:cs="宋体"/>
                <w:bCs/>
                <w:lang w:val="en-US" w:eastAsia="zh-CN"/>
              </w:rPr>
              <w:t>监理单位填写</w:t>
            </w:r>
          </w:p>
        </w:tc>
        <w:tc>
          <w:tcPr>
            <w:tcW w:w="550" w:type="dxa"/>
            <w:tcBorders>
              <w:top w:val="single" w:color="auto" w:sz="4" w:space="0"/>
            </w:tcBorders>
            <w:vAlign w:val="center"/>
          </w:tcPr>
          <w:p>
            <w:pPr>
              <w:pStyle w:val="3"/>
              <w:widowControl/>
              <w:jc w:val="center"/>
              <w:rPr>
                <w:rFonts w:hint="default" w:ascii="宋体" w:hAnsi="宋体" w:eastAsia="宋体" w:cs="宋体"/>
                <w:bCs/>
                <w:lang w:val="en-US" w:eastAsia="zh-CN"/>
              </w:rPr>
            </w:pPr>
            <w:r>
              <w:rPr>
                <w:rFonts w:hint="eastAsia"/>
                <w:bCs/>
                <w:lang w:val="en-US" w:eastAsia="zh-CN"/>
              </w:rPr>
              <w:t>16</w:t>
            </w:r>
          </w:p>
        </w:tc>
        <w:tc>
          <w:tcPr>
            <w:tcW w:w="2583"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对劳务工人工资支付情况进行审核及监督</w:t>
            </w:r>
          </w:p>
        </w:tc>
        <w:tc>
          <w:tcPr>
            <w:tcW w:w="4917"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1.监理单位检查是否每月对劳务工人工资支付情况进行审核和监督；</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2.检查劳务工人每月工资支付表是否有监理单位签字。</w:t>
            </w:r>
          </w:p>
        </w:tc>
        <w:tc>
          <w:tcPr>
            <w:tcW w:w="4083"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1.监理单位应当每月对劳务工人工资支付情况进行审核和监督；</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2.劳务工人每月工资支付表应有监理单位签字。</w:t>
            </w:r>
          </w:p>
        </w:tc>
        <w:tc>
          <w:tcPr>
            <w:tcW w:w="1233" w:type="dxa"/>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771" w:type="dxa"/>
            <w:vMerge w:val="restart"/>
            <w:tcBorders>
              <w:top w:val="single" w:color="auto" w:sz="4" w:space="0"/>
            </w:tcBorders>
            <w:vAlign w:val="center"/>
          </w:tcPr>
          <w:p>
            <w:pPr>
              <w:pStyle w:val="3"/>
              <w:widowControl/>
              <w:jc w:val="center"/>
              <w:rPr>
                <w:rFonts w:hint="default" w:ascii="宋体" w:hAnsi="宋体" w:eastAsia="宋体" w:cs="宋体"/>
                <w:bCs/>
                <w:lang w:val="en-US" w:eastAsia="zh-CN"/>
              </w:rPr>
            </w:pPr>
            <w:r>
              <w:rPr>
                <w:rFonts w:hint="eastAsia" w:ascii="宋体" w:hAnsi="宋体" w:eastAsia="宋体" w:cs="宋体"/>
                <w:bCs/>
                <w:lang w:val="en-US" w:eastAsia="zh-CN"/>
              </w:rPr>
              <w:t>分包单位填写</w:t>
            </w:r>
          </w:p>
        </w:tc>
        <w:tc>
          <w:tcPr>
            <w:tcW w:w="550" w:type="dxa"/>
            <w:tcBorders>
              <w:top w:val="single" w:color="auto" w:sz="4" w:space="0"/>
            </w:tcBorders>
            <w:vAlign w:val="center"/>
          </w:tcPr>
          <w:p>
            <w:pPr>
              <w:pStyle w:val="3"/>
              <w:widowControl/>
              <w:jc w:val="center"/>
              <w:rPr>
                <w:rFonts w:hint="default" w:eastAsiaTheme="minorEastAsia"/>
                <w:bCs/>
                <w:lang w:val="en-US" w:eastAsia="zh-CN"/>
              </w:rPr>
            </w:pPr>
            <w:r>
              <w:rPr>
                <w:rFonts w:hint="eastAsia"/>
                <w:bCs/>
                <w:lang w:val="en-US" w:eastAsia="zh-CN"/>
              </w:rPr>
              <w:t>17</w:t>
            </w:r>
          </w:p>
        </w:tc>
        <w:tc>
          <w:tcPr>
            <w:tcW w:w="2583"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委托工资支付协议</w:t>
            </w:r>
          </w:p>
        </w:tc>
        <w:tc>
          <w:tcPr>
            <w:tcW w:w="4917" w:type="dxa"/>
            <w:vAlign w:val="center"/>
          </w:tcPr>
          <w:p>
            <w:pPr>
              <w:numPr>
                <w:ilvl w:val="0"/>
                <w:numId w:val="0"/>
              </w:numPr>
              <w:ind w:left="0" w:leftChars="0" w:firstLine="0" w:firstLineChars="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检查是否与总包单位签订委托工资支付协议，协议一式两份，分包单位和总包单位各一份</w:t>
            </w:r>
          </w:p>
        </w:tc>
        <w:tc>
          <w:tcPr>
            <w:tcW w:w="4083" w:type="dxa"/>
            <w:vAlign w:val="center"/>
          </w:tcPr>
          <w:p>
            <w:pPr>
              <w:numPr>
                <w:ilvl w:val="0"/>
                <w:numId w:val="0"/>
              </w:numPr>
              <w:ind w:left="0" w:leftChars="0" w:firstLine="0" w:firstLineChars="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分包单位应与分包单位签订委托工资支付协议，并留档。</w:t>
            </w:r>
          </w:p>
        </w:tc>
        <w:tc>
          <w:tcPr>
            <w:tcW w:w="1233" w:type="dxa"/>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1" w:hRule="atLeast"/>
        </w:trPr>
        <w:tc>
          <w:tcPr>
            <w:tcW w:w="771" w:type="dxa"/>
            <w:vMerge w:val="continue"/>
            <w:vAlign w:val="center"/>
          </w:tcPr>
          <w:p>
            <w:pPr>
              <w:pStyle w:val="3"/>
              <w:widowControl/>
              <w:jc w:val="center"/>
              <w:rPr>
                <w:rFonts w:hint="eastAsia" w:ascii="宋体" w:hAnsi="宋体" w:eastAsia="宋体" w:cs="宋体"/>
                <w:bCs/>
                <w:lang w:val="en-US" w:eastAsia="zh-CN"/>
              </w:rPr>
            </w:pPr>
          </w:p>
        </w:tc>
        <w:tc>
          <w:tcPr>
            <w:tcW w:w="550" w:type="dxa"/>
            <w:tcBorders>
              <w:top w:val="single" w:color="auto" w:sz="4" w:space="0"/>
            </w:tcBorders>
            <w:vAlign w:val="center"/>
          </w:tcPr>
          <w:p>
            <w:pPr>
              <w:pStyle w:val="3"/>
              <w:widowControl/>
              <w:jc w:val="center"/>
              <w:rPr>
                <w:rFonts w:hint="default" w:ascii="宋体" w:hAnsi="宋体" w:eastAsia="宋体" w:cs="宋体"/>
                <w:bCs/>
                <w:lang w:val="en-US" w:eastAsia="zh-CN"/>
              </w:rPr>
            </w:pPr>
            <w:r>
              <w:rPr>
                <w:rFonts w:hint="eastAsia"/>
                <w:bCs/>
                <w:lang w:val="en-US" w:eastAsia="zh-CN"/>
              </w:rPr>
              <w:t>18</w:t>
            </w:r>
          </w:p>
        </w:tc>
        <w:tc>
          <w:tcPr>
            <w:tcW w:w="2583"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分包单位落实与招用的农民工签订劳动合同</w:t>
            </w:r>
          </w:p>
        </w:tc>
        <w:tc>
          <w:tcPr>
            <w:tcW w:w="4917"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1.分包单位检查是否与所有招用的劳务工人签订劳动合同；</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2.劳动合同明确工人工价，并有工人签字或按手印，合同上公司盖章、日期等信息是否完善。</w:t>
            </w:r>
          </w:p>
        </w:tc>
        <w:tc>
          <w:tcPr>
            <w:tcW w:w="4083" w:type="dxa"/>
            <w:vAlign w:val="center"/>
          </w:tcPr>
          <w:p>
            <w:pPr>
              <w:numPr>
                <w:ilvl w:val="0"/>
                <w:numId w:val="0"/>
              </w:numPr>
              <w:ind w:left="0" w:leftChars="0" w:firstLine="0" w:firstLineChars="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分包单位应与所有招用的劳务工人签订劳动合同，且合同上企业盖章、工人工价、劳务工人签字或按手印、日期等信息完善</w:t>
            </w:r>
          </w:p>
        </w:tc>
        <w:tc>
          <w:tcPr>
            <w:tcW w:w="1233" w:type="dxa"/>
            <w:vAlign w:val="center"/>
          </w:tcPr>
          <w:p>
            <w:pPr>
              <w:numPr>
                <w:ilvl w:val="0"/>
                <w:numId w:val="0"/>
              </w:numPr>
              <w:ind w:left="0" w:leftChars="0"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771" w:type="dxa"/>
            <w:vMerge w:val="continue"/>
            <w:vAlign w:val="center"/>
          </w:tcPr>
          <w:p>
            <w:pPr>
              <w:pStyle w:val="3"/>
              <w:widowControl/>
              <w:jc w:val="center"/>
              <w:rPr>
                <w:rFonts w:hint="eastAsia" w:ascii="宋体" w:hAnsi="宋体" w:eastAsia="宋体" w:cs="宋体"/>
                <w:bCs/>
                <w:lang w:val="en-US" w:eastAsia="zh-CN"/>
              </w:rPr>
            </w:pPr>
          </w:p>
        </w:tc>
        <w:tc>
          <w:tcPr>
            <w:tcW w:w="550" w:type="dxa"/>
            <w:tcBorders>
              <w:top w:val="single" w:color="auto" w:sz="4" w:space="0"/>
            </w:tcBorders>
            <w:vAlign w:val="center"/>
          </w:tcPr>
          <w:p>
            <w:pPr>
              <w:pStyle w:val="3"/>
              <w:widowControl/>
              <w:jc w:val="center"/>
              <w:rPr>
                <w:rFonts w:hint="default" w:eastAsiaTheme="minorEastAsia"/>
                <w:bCs/>
                <w:lang w:val="en-US" w:eastAsia="zh-CN"/>
              </w:rPr>
            </w:pPr>
            <w:r>
              <w:rPr>
                <w:rFonts w:hint="eastAsia"/>
                <w:bCs/>
                <w:lang w:val="en-US" w:eastAsia="zh-CN"/>
              </w:rPr>
              <w:t>19</w:t>
            </w:r>
          </w:p>
        </w:tc>
        <w:tc>
          <w:tcPr>
            <w:tcW w:w="2583" w:type="dxa"/>
            <w:vAlign w:val="center"/>
          </w:tcPr>
          <w:p>
            <w:pPr>
              <w:numPr>
                <w:ilvl w:val="0"/>
                <w:numId w:val="0"/>
              </w:numPr>
              <w:ind w:left="0" w:leftChars="0" w:firstLine="0" w:firstLineChars="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分包单位落实用工管理台账</w:t>
            </w:r>
          </w:p>
        </w:tc>
        <w:tc>
          <w:tcPr>
            <w:tcW w:w="4917" w:type="dxa"/>
            <w:tcBorders>
              <w:bottom w:val="single" w:color="auto" w:sz="4" w:space="0"/>
            </w:tcBorders>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分包单位检查是否按月编制工人工资表和考勤表，并让劳务人员本人签字确认，与当月工程进度一并交于总包单位。</w:t>
            </w:r>
          </w:p>
        </w:tc>
        <w:tc>
          <w:tcPr>
            <w:tcW w:w="4083" w:type="dxa"/>
            <w:tcBorders>
              <w:bottom w:val="single" w:color="auto" w:sz="4" w:space="0"/>
            </w:tcBorders>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分包单位应按月编制工人工资表和考勤表，并让劳务人员本人签字确认，与当月工程进度一并交于总包单位。</w:t>
            </w:r>
          </w:p>
        </w:tc>
        <w:tc>
          <w:tcPr>
            <w:tcW w:w="1233" w:type="dxa"/>
            <w:tcBorders>
              <w:bottom w:val="single" w:color="auto" w:sz="4" w:space="0"/>
            </w:tcBorders>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trPr>
        <w:tc>
          <w:tcPr>
            <w:tcW w:w="771" w:type="dxa"/>
            <w:vMerge w:val="continue"/>
            <w:vAlign w:val="center"/>
          </w:tcPr>
          <w:p>
            <w:pPr>
              <w:pStyle w:val="3"/>
              <w:widowControl/>
              <w:jc w:val="center"/>
              <w:rPr>
                <w:rFonts w:hint="eastAsia" w:ascii="宋体" w:hAnsi="宋体" w:eastAsia="宋体" w:cs="宋体"/>
                <w:bCs/>
              </w:rPr>
            </w:pPr>
          </w:p>
        </w:tc>
        <w:tc>
          <w:tcPr>
            <w:tcW w:w="550" w:type="dxa"/>
            <w:tcBorders>
              <w:top w:val="single" w:color="auto" w:sz="4" w:space="0"/>
            </w:tcBorders>
            <w:vAlign w:val="center"/>
          </w:tcPr>
          <w:p>
            <w:pPr>
              <w:pStyle w:val="3"/>
              <w:widowControl/>
              <w:jc w:val="center"/>
              <w:rPr>
                <w:rFonts w:hint="default" w:ascii="宋体" w:hAnsi="宋体" w:eastAsia="宋体" w:cs="宋体"/>
                <w:bCs/>
                <w:lang w:val="en-US" w:eastAsia="zh-CN"/>
              </w:rPr>
            </w:pPr>
            <w:r>
              <w:rPr>
                <w:rFonts w:hint="eastAsia"/>
                <w:bCs/>
                <w:lang w:val="en-US" w:eastAsia="zh-CN"/>
              </w:rPr>
              <w:t>20</w:t>
            </w:r>
          </w:p>
        </w:tc>
        <w:tc>
          <w:tcPr>
            <w:tcW w:w="2583"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分包单位配合总包单位落实用工实名登记</w:t>
            </w:r>
          </w:p>
        </w:tc>
        <w:tc>
          <w:tcPr>
            <w:tcW w:w="4917"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分包单位检查是否配合总包单位落实用工实名登记，所有招用的农民工是否通过i深建进行实名认证。</w:t>
            </w:r>
          </w:p>
        </w:tc>
        <w:tc>
          <w:tcPr>
            <w:tcW w:w="4083" w:type="dxa"/>
            <w:vAlign w:val="center"/>
          </w:tcPr>
          <w:p>
            <w:pPr>
              <w:numPr>
                <w:ilvl w:val="0"/>
                <w:numId w:val="0"/>
              </w:numPr>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分包单位应配合总包单位落实用工实名登记，所有招用的工人应通过i深建进行实名认证。</w:t>
            </w:r>
          </w:p>
        </w:tc>
        <w:tc>
          <w:tcPr>
            <w:tcW w:w="1233" w:type="dxa"/>
            <w:vAlign w:val="center"/>
          </w:tcPr>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 xml:space="preserve">是 </w:t>
            </w:r>
            <w:r>
              <w:rPr>
                <w:rFonts w:hint="eastAsia" w:ascii="宋体" w:hAnsi="宋体" w:cs="宋体"/>
                <w:kern w:val="0"/>
                <w:sz w:val="20"/>
                <w:szCs w:val="20"/>
                <w:lang w:val="en-US" w:eastAsia="zh-CN"/>
              </w:rPr>
              <w:sym w:font="Wingdings 2" w:char="00A3"/>
            </w:r>
            <w:r>
              <w:rPr>
                <w:rFonts w:hint="eastAsia" w:ascii="宋体" w:hAnsi="宋体" w:cs="宋体"/>
                <w:kern w:val="0"/>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4137" w:type="dxa"/>
            <w:gridSpan w:val="6"/>
            <w:tcBorders>
              <w:top w:val="single" w:color="auto" w:sz="4" w:space="0"/>
            </w:tcBorders>
            <w:vAlign w:val="center"/>
          </w:tcPr>
          <w:p>
            <w:pPr>
              <w:numPr>
                <w:ilvl w:val="0"/>
                <w:numId w:val="0"/>
              </w:numPr>
              <w:jc w:val="center"/>
              <w:rPr>
                <w:rFonts w:hint="eastAsia" w:ascii="宋体" w:hAnsi="宋体" w:cs="宋体"/>
                <w:kern w:val="0"/>
                <w:sz w:val="20"/>
                <w:szCs w:val="20"/>
                <w:lang w:val="en-US" w:eastAsia="zh-CN"/>
              </w:rPr>
            </w:pPr>
          </w:p>
          <w:p>
            <w:pPr>
              <w:numPr>
                <w:ilvl w:val="0"/>
                <w:numId w:val="0"/>
              </w:num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提示：以上内容请各参建单位登录“两制”平台，进入“2022年集中治理”模块进行线上填写，并上传《“两制”工作承诺书》。</w:t>
            </w:r>
            <w:bookmarkStart w:id="1" w:name="_GoBack"/>
            <w:bookmarkEnd w:id="1"/>
          </w:p>
          <w:p>
            <w:pPr>
              <w:numPr>
                <w:ilvl w:val="0"/>
                <w:numId w:val="0"/>
              </w:numPr>
              <w:jc w:val="both"/>
              <w:rPr>
                <w:rFonts w:hint="default" w:ascii="宋体" w:hAnsi="宋体" w:cs="宋体"/>
                <w:kern w:val="0"/>
                <w:sz w:val="20"/>
                <w:szCs w:val="20"/>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15D6"/>
    <w:rsid w:val="27251FEC"/>
    <w:rsid w:val="343E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2022-02-15T08:07:00Z</dcterms:created>
  <dc:creator>Lenovo</dc:creator>
  <cp:lastModifiedBy>李四林</cp:lastModifiedBy>
  <dcterms:modified xsi:type="dcterms:W3CDTF">2022-02-16T08:31:18Z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