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left"/>
        <w:rPr>
          <w:rFonts w:ascii="方正小标宋简体" w:hAnsi="黑体" w:eastAsia="方正小标宋简体" w:cs="楷体"/>
          <w:bCs/>
          <w:sz w:val="44"/>
          <w:szCs w:val="32"/>
        </w:rPr>
      </w:pPr>
      <w:r>
        <w:rPr>
          <w:rFonts w:hint="eastAsia" w:ascii="黑体" w:hAnsi="黑体" w:eastAsia="黑体" w:cs="楷体"/>
          <w:bCs/>
          <w:szCs w:val="32"/>
        </w:rPr>
        <w:t>附件2</w:t>
      </w:r>
    </w:p>
    <w:p>
      <w:pPr>
        <w:spacing w:line="579" w:lineRule="exact"/>
        <w:jc w:val="center"/>
        <w:rPr>
          <w:rFonts w:ascii="方正小标宋_GBK" w:hAnsi="方正小标宋_GBK" w:eastAsia="方正小标宋_GBK" w:cs="方正小标宋_GBK"/>
          <w:bCs/>
          <w:sz w:val="44"/>
          <w:szCs w:val="32"/>
        </w:rPr>
      </w:pPr>
      <w:r>
        <w:rPr>
          <w:rFonts w:hint="eastAsia" w:ascii="方正小标宋_GBK" w:hAnsi="方正小标宋_GBK" w:eastAsia="方正小标宋_GBK" w:cs="方正小标宋_GBK"/>
          <w:bCs/>
          <w:sz w:val="44"/>
          <w:szCs w:val="32"/>
        </w:rPr>
        <w:t>市人大常委会</w:t>
      </w:r>
      <w:bookmarkStart w:id="1" w:name="_GoBack"/>
      <w:bookmarkEnd w:id="1"/>
      <w:r>
        <w:rPr>
          <w:rFonts w:hint="eastAsia" w:ascii="方正小标宋_GBK" w:hAnsi="方正小标宋_GBK" w:eastAsia="方正小标宋_GBK" w:cs="方正小标宋_GBK"/>
          <w:bCs/>
          <w:sz w:val="44"/>
          <w:szCs w:val="32"/>
        </w:rPr>
        <w:t>跟踪监督审计重点整改事项情况一览表</w:t>
      </w:r>
    </w:p>
    <w:tbl>
      <w:tblPr>
        <w:tblStyle w:val="3"/>
        <w:tblW w:w="15234" w:type="dxa"/>
        <w:jc w:val="center"/>
        <w:tblLayout w:type="fixed"/>
        <w:tblCellMar>
          <w:top w:w="0" w:type="dxa"/>
          <w:left w:w="108" w:type="dxa"/>
          <w:bottom w:w="0" w:type="dxa"/>
          <w:right w:w="108" w:type="dxa"/>
        </w:tblCellMar>
      </w:tblPr>
      <w:tblGrid>
        <w:gridCol w:w="851"/>
        <w:gridCol w:w="905"/>
        <w:gridCol w:w="937"/>
        <w:gridCol w:w="1372"/>
        <w:gridCol w:w="2392"/>
        <w:gridCol w:w="868"/>
        <w:gridCol w:w="1984"/>
        <w:gridCol w:w="4526"/>
        <w:gridCol w:w="1399"/>
      </w:tblGrid>
      <w:tr>
        <w:tblPrEx>
          <w:tblCellMar>
            <w:top w:w="0" w:type="dxa"/>
            <w:left w:w="108" w:type="dxa"/>
            <w:bottom w:w="0" w:type="dxa"/>
            <w:right w:w="108" w:type="dxa"/>
          </w:tblCellMar>
        </w:tblPrEx>
        <w:trPr>
          <w:trHeight w:val="658" w:hRule="atLeast"/>
          <w:tblHeader/>
          <w:jc w:val="center"/>
        </w:trPr>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cs="宋体"/>
                <w:b/>
                <w:bCs/>
                <w:color w:val="000000"/>
                <w:kern w:val="0"/>
                <w:sz w:val="28"/>
                <w:szCs w:val="28"/>
              </w:rPr>
            </w:pPr>
            <w:r>
              <w:rPr>
                <w:rFonts w:hint="eastAsia" w:ascii="仿宋_GB2312" w:hAnsi="宋体" w:cs="宋体"/>
                <w:b/>
                <w:bCs/>
                <w:color w:val="000000"/>
                <w:kern w:val="0"/>
                <w:sz w:val="28"/>
                <w:szCs w:val="28"/>
              </w:rPr>
              <w:t>序号</w:t>
            </w:r>
          </w:p>
        </w:tc>
        <w:tc>
          <w:tcPr>
            <w:tcW w:w="905"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宋体" w:cs="宋体"/>
                <w:b/>
                <w:bCs/>
                <w:color w:val="000000"/>
                <w:kern w:val="0"/>
                <w:sz w:val="28"/>
                <w:szCs w:val="28"/>
              </w:rPr>
            </w:pPr>
            <w:r>
              <w:rPr>
                <w:rFonts w:hint="eastAsia" w:ascii="仿宋_GB2312" w:hAnsi="宋体" w:cs="宋体"/>
                <w:b/>
                <w:bCs/>
                <w:color w:val="000000"/>
                <w:kern w:val="0"/>
                <w:sz w:val="28"/>
                <w:szCs w:val="28"/>
              </w:rPr>
              <w:t>项目</w:t>
            </w:r>
          </w:p>
        </w:tc>
        <w:tc>
          <w:tcPr>
            <w:tcW w:w="93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宋体" w:cs="宋体"/>
                <w:b/>
                <w:bCs/>
                <w:color w:val="000000"/>
                <w:kern w:val="0"/>
                <w:sz w:val="28"/>
                <w:szCs w:val="28"/>
              </w:rPr>
            </w:pPr>
            <w:r>
              <w:rPr>
                <w:rFonts w:hint="eastAsia" w:ascii="仿宋_GB2312" w:hAnsi="宋体" w:cs="宋体"/>
                <w:b/>
                <w:bCs/>
                <w:color w:val="000000"/>
                <w:kern w:val="0"/>
                <w:sz w:val="28"/>
                <w:szCs w:val="28"/>
              </w:rPr>
              <w:t>类别</w:t>
            </w:r>
          </w:p>
        </w:tc>
        <w:tc>
          <w:tcPr>
            <w:tcW w:w="3764"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宋体" w:cs="宋体"/>
                <w:b/>
                <w:bCs/>
                <w:color w:val="000000"/>
                <w:kern w:val="0"/>
                <w:sz w:val="28"/>
                <w:szCs w:val="28"/>
              </w:rPr>
            </w:pPr>
            <w:r>
              <w:rPr>
                <w:rFonts w:hint="eastAsia" w:ascii="仿宋_GB2312" w:hAnsi="宋体" w:cs="宋体"/>
                <w:b/>
                <w:bCs/>
                <w:color w:val="000000"/>
                <w:kern w:val="0"/>
                <w:sz w:val="28"/>
                <w:szCs w:val="28"/>
              </w:rPr>
              <w:t>内容</w:t>
            </w:r>
          </w:p>
        </w:tc>
        <w:tc>
          <w:tcPr>
            <w:tcW w:w="868"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宋体" w:cs="宋体"/>
                <w:b/>
                <w:bCs/>
                <w:color w:val="000000"/>
                <w:kern w:val="0"/>
                <w:sz w:val="28"/>
                <w:szCs w:val="28"/>
              </w:rPr>
            </w:pPr>
            <w:r>
              <w:rPr>
                <w:rFonts w:hint="eastAsia" w:ascii="仿宋_GB2312" w:hAnsi="宋体" w:cs="宋体"/>
                <w:b/>
                <w:bCs/>
                <w:color w:val="000000"/>
                <w:kern w:val="0"/>
                <w:sz w:val="28"/>
                <w:szCs w:val="28"/>
              </w:rPr>
              <w:t>责任单位</w:t>
            </w:r>
          </w:p>
        </w:tc>
        <w:tc>
          <w:tcPr>
            <w:tcW w:w="1984"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宋体" w:cs="宋体"/>
                <w:b/>
                <w:bCs/>
                <w:color w:val="000000"/>
                <w:kern w:val="0"/>
                <w:sz w:val="28"/>
                <w:szCs w:val="28"/>
              </w:rPr>
            </w:pPr>
            <w:r>
              <w:rPr>
                <w:rFonts w:hint="eastAsia" w:ascii="仿宋_GB2312" w:hAnsi="宋体" w:cs="宋体"/>
                <w:b/>
                <w:bCs/>
                <w:color w:val="000000"/>
                <w:kern w:val="0"/>
                <w:sz w:val="28"/>
                <w:szCs w:val="28"/>
              </w:rPr>
              <w:t>审计建议</w:t>
            </w:r>
          </w:p>
        </w:tc>
        <w:tc>
          <w:tcPr>
            <w:tcW w:w="4526"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宋体" w:cs="宋体"/>
                <w:b/>
                <w:bCs/>
                <w:color w:val="000000"/>
                <w:kern w:val="0"/>
                <w:sz w:val="28"/>
                <w:szCs w:val="28"/>
              </w:rPr>
            </w:pPr>
            <w:r>
              <w:rPr>
                <w:rFonts w:hint="eastAsia" w:ascii="仿宋_GB2312" w:hAnsi="宋体" w:cs="宋体"/>
                <w:b/>
                <w:bCs/>
                <w:color w:val="000000"/>
                <w:kern w:val="0"/>
                <w:sz w:val="28"/>
                <w:szCs w:val="28"/>
              </w:rPr>
              <w:t>整改情况</w:t>
            </w:r>
          </w:p>
        </w:tc>
        <w:tc>
          <w:tcPr>
            <w:tcW w:w="1399"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宋体" w:cs="宋体"/>
                <w:b/>
                <w:bCs/>
                <w:color w:val="000000"/>
                <w:kern w:val="0"/>
                <w:sz w:val="28"/>
                <w:szCs w:val="28"/>
              </w:rPr>
            </w:pPr>
            <w:r>
              <w:rPr>
                <w:rFonts w:hint="eastAsia" w:ascii="仿宋_GB2312" w:hAnsi="宋体" w:cs="宋体"/>
                <w:b/>
                <w:bCs/>
                <w:color w:val="000000"/>
                <w:kern w:val="0"/>
                <w:sz w:val="28"/>
                <w:szCs w:val="28"/>
              </w:rPr>
              <w:t>整改结果</w:t>
            </w:r>
          </w:p>
        </w:tc>
      </w:tr>
      <w:tr>
        <w:tblPrEx>
          <w:tblCellMar>
            <w:top w:w="0" w:type="dxa"/>
            <w:left w:w="108" w:type="dxa"/>
            <w:bottom w:w="0" w:type="dxa"/>
            <w:right w:w="108" w:type="dxa"/>
          </w:tblCellMar>
        </w:tblPrEx>
        <w:trPr>
          <w:trHeight w:val="6711" w:hRule="atLeast"/>
          <w:jc w:val="center"/>
        </w:trPr>
        <w:tc>
          <w:tcPr>
            <w:tcW w:w="851"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cs="宋体"/>
                <w:color w:val="000000"/>
                <w:kern w:val="0"/>
                <w:sz w:val="24"/>
                <w:szCs w:val="24"/>
              </w:rPr>
            </w:pPr>
            <w:r>
              <w:rPr>
                <w:rFonts w:hint="eastAsia" w:ascii="仿宋_GB2312" w:hAnsi="宋体" w:cs="宋体"/>
                <w:color w:val="000000"/>
                <w:kern w:val="0"/>
                <w:sz w:val="24"/>
                <w:szCs w:val="24"/>
              </w:rPr>
              <w:t>1</w:t>
            </w:r>
          </w:p>
        </w:tc>
        <w:tc>
          <w:tcPr>
            <w:tcW w:w="905"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cs="宋体"/>
                <w:color w:val="000000"/>
                <w:kern w:val="0"/>
                <w:sz w:val="24"/>
                <w:szCs w:val="24"/>
              </w:rPr>
            </w:pPr>
            <w:r>
              <w:rPr>
                <w:rFonts w:hint="eastAsia" w:ascii="仿宋_GB2312" w:hAnsi="宋体" w:cs="宋体"/>
                <w:color w:val="000000"/>
                <w:kern w:val="0"/>
                <w:sz w:val="24"/>
                <w:szCs w:val="24"/>
              </w:rPr>
              <w:t>二、部门预算执行审计情况</w:t>
            </w:r>
          </w:p>
        </w:tc>
        <w:tc>
          <w:tcPr>
            <w:tcW w:w="937" w:type="dxa"/>
            <w:tcBorders>
              <w:top w:val="nil"/>
              <w:left w:val="nil"/>
              <w:bottom w:val="single" w:color="auto" w:sz="4" w:space="0"/>
              <w:right w:val="single" w:color="auto" w:sz="4" w:space="0"/>
            </w:tcBorders>
            <w:vAlign w:val="center"/>
          </w:tcPr>
          <w:p>
            <w:pPr>
              <w:widowControl/>
              <w:spacing w:line="360" w:lineRule="exact"/>
              <w:jc w:val="left"/>
              <w:rPr>
                <w:rFonts w:ascii="仿宋_GB2312" w:hAnsi="宋体" w:cs="宋体"/>
                <w:color w:val="000000"/>
                <w:kern w:val="0"/>
                <w:sz w:val="24"/>
                <w:szCs w:val="24"/>
              </w:rPr>
            </w:pPr>
            <w:r>
              <w:rPr>
                <w:rFonts w:hint="eastAsia" w:ascii="仿宋_GB2312" w:hAnsi="宋体" w:cs="宋体"/>
                <w:color w:val="000000"/>
                <w:kern w:val="0"/>
                <w:sz w:val="24"/>
                <w:szCs w:val="24"/>
              </w:rPr>
              <w:t>（三）部分单位政府采购和购买服务不够规范</w:t>
            </w:r>
          </w:p>
        </w:tc>
        <w:tc>
          <w:tcPr>
            <w:tcW w:w="1372" w:type="dxa"/>
            <w:tcBorders>
              <w:top w:val="nil"/>
              <w:left w:val="nil"/>
              <w:bottom w:val="single" w:color="auto" w:sz="4" w:space="0"/>
              <w:right w:val="single" w:color="auto" w:sz="4" w:space="0"/>
            </w:tcBorders>
            <w:vAlign w:val="center"/>
          </w:tcPr>
          <w:p>
            <w:pPr>
              <w:widowControl/>
              <w:spacing w:line="360" w:lineRule="exact"/>
              <w:rPr>
                <w:rFonts w:ascii="仿宋_GB2312" w:hAnsi="宋体" w:cs="宋体"/>
                <w:color w:val="000000"/>
                <w:kern w:val="0"/>
                <w:sz w:val="24"/>
                <w:szCs w:val="24"/>
              </w:rPr>
            </w:pPr>
            <w:r>
              <w:rPr>
                <w:rFonts w:hint="eastAsia" w:ascii="仿宋_GB2312" w:hAnsi="宋体" w:cs="宋体"/>
                <w:color w:val="000000"/>
                <w:kern w:val="0"/>
                <w:sz w:val="24"/>
                <w:szCs w:val="24"/>
              </w:rPr>
              <w:t>实施政府采购行为不规范</w:t>
            </w:r>
          </w:p>
        </w:tc>
        <w:tc>
          <w:tcPr>
            <w:tcW w:w="2392" w:type="dxa"/>
            <w:tcBorders>
              <w:top w:val="nil"/>
              <w:left w:val="nil"/>
              <w:bottom w:val="single" w:color="auto" w:sz="4" w:space="0"/>
              <w:right w:val="single" w:color="auto" w:sz="4" w:space="0"/>
            </w:tcBorders>
            <w:vAlign w:val="center"/>
          </w:tcPr>
          <w:p>
            <w:pPr>
              <w:widowControl/>
              <w:spacing w:line="360" w:lineRule="exact"/>
              <w:rPr>
                <w:rFonts w:ascii="仿宋_GB2312" w:hAnsi="宋体" w:cs="宋体"/>
                <w:color w:val="000000"/>
                <w:kern w:val="0"/>
                <w:sz w:val="24"/>
                <w:szCs w:val="24"/>
              </w:rPr>
            </w:pPr>
            <w:r>
              <w:rPr>
                <w:rFonts w:hint="eastAsia" w:ascii="仿宋_GB2312" w:hAnsi="宋体" w:cs="宋体"/>
                <w:color w:val="000000"/>
                <w:kern w:val="0"/>
                <w:sz w:val="24"/>
                <w:szCs w:val="24"/>
              </w:rPr>
              <w:t>3个单位实施的采购项目中，存在负责人为同一人或具有直接关系的不同供应商参加同一采购、向本单位工作人员创办或兼职企业采购等情况，涉及金额4,205.42万元。</w:t>
            </w:r>
          </w:p>
        </w:tc>
        <w:tc>
          <w:tcPr>
            <w:tcW w:w="868"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cs="宋体"/>
                <w:color w:val="000000"/>
                <w:kern w:val="0"/>
                <w:sz w:val="24"/>
                <w:szCs w:val="24"/>
              </w:rPr>
            </w:pPr>
            <w:r>
              <w:rPr>
                <w:rFonts w:hint="eastAsia" w:ascii="仿宋_GB2312" w:hAnsi="宋体" w:cs="宋体"/>
                <w:color w:val="000000"/>
                <w:kern w:val="0"/>
                <w:sz w:val="24"/>
                <w:szCs w:val="24"/>
              </w:rPr>
              <w:t>市委军民融合办，市财政局，交易集团，深圳信息职业技术学院</w:t>
            </w:r>
          </w:p>
        </w:tc>
        <w:tc>
          <w:tcPr>
            <w:tcW w:w="1984" w:type="dxa"/>
            <w:tcBorders>
              <w:top w:val="nil"/>
              <w:left w:val="nil"/>
              <w:bottom w:val="single" w:color="auto" w:sz="4" w:space="0"/>
              <w:right w:val="single" w:color="auto" w:sz="4" w:space="0"/>
            </w:tcBorders>
            <w:vAlign w:val="center"/>
          </w:tcPr>
          <w:p>
            <w:pPr>
              <w:widowControl/>
              <w:spacing w:line="360" w:lineRule="exact"/>
              <w:rPr>
                <w:rFonts w:ascii="仿宋_GB2312" w:hAnsi="宋体" w:cs="宋体"/>
                <w:color w:val="000000"/>
                <w:kern w:val="0"/>
                <w:sz w:val="24"/>
                <w:szCs w:val="24"/>
              </w:rPr>
            </w:pPr>
            <w:r>
              <w:rPr>
                <w:rFonts w:hint="eastAsia" w:ascii="仿宋_GB2312" w:hAnsi="宋体" w:cs="宋体"/>
                <w:color w:val="000000"/>
                <w:kern w:val="0"/>
                <w:sz w:val="24"/>
                <w:szCs w:val="24"/>
              </w:rPr>
              <w:t>市财政局要加强政府采购管理，督促采购机构严格审查同一合同项下的供应商关联关系，对有关事项进行处理。市委军民融合办、深圳信息职业技术学院要严格按规定开展自行采购活动。</w:t>
            </w:r>
          </w:p>
        </w:tc>
        <w:tc>
          <w:tcPr>
            <w:tcW w:w="4526" w:type="dxa"/>
            <w:tcBorders>
              <w:top w:val="nil"/>
              <w:left w:val="nil"/>
              <w:bottom w:val="single" w:color="auto" w:sz="4" w:space="0"/>
              <w:right w:val="single" w:color="auto" w:sz="4" w:space="0"/>
            </w:tcBorders>
            <w:vAlign w:val="center"/>
          </w:tcPr>
          <w:p>
            <w:pPr>
              <w:widowControl/>
              <w:spacing w:line="360" w:lineRule="exact"/>
              <w:jc w:val="left"/>
              <w:rPr>
                <w:rFonts w:ascii="仿宋_GB2312" w:hAnsi="宋体" w:cs="宋体"/>
                <w:color w:val="000000"/>
                <w:kern w:val="0"/>
                <w:sz w:val="24"/>
                <w:szCs w:val="24"/>
              </w:rPr>
            </w:pPr>
            <w:r>
              <w:rPr>
                <w:rFonts w:hint="eastAsia" w:ascii="仿宋_GB2312" w:hAnsi="宋体" w:cs="宋体"/>
                <w:color w:val="000000"/>
                <w:kern w:val="0"/>
                <w:sz w:val="24"/>
                <w:szCs w:val="24"/>
              </w:rPr>
              <w:t>各相关责任单位主要采取以下整改措施：一是加强政府采购执行管理。市财政局已约谈并督促相关单位通过审查营业执照、查询股权结构、公开投标文件内容等方式，强化对投标供应商的资格性审查，提高政府采购公平性。二是规范政府采购行为。市委军民融合办已对采购管理规定等相关制度进行了修订，对采购活动的运行机制、工作流程、部门职责等进行优化和调整。三是严肃查处违规行为。针对审计反映涉嫌违规行为，市财政局已依法启动调查程序；深圳信息职业技术学院根据自查结果对2名相关人员进行了批评。</w:t>
            </w:r>
          </w:p>
        </w:tc>
        <w:tc>
          <w:tcPr>
            <w:tcW w:w="1399"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hAnsi="宋体" w:cs="宋体"/>
                <w:color w:val="000000"/>
                <w:kern w:val="0"/>
                <w:sz w:val="24"/>
                <w:szCs w:val="24"/>
              </w:rPr>
            </w:pPr>
            <w:r>
              <w:rPr>
                <w:rFonts w:hint="eastAsia" w:ascii="仿宋_GB2312" w:hAnsi="宋体" w:cs="宋体"/>
                <w:color w:val="000000"/>
                <w:kern w:val="0"/>
                <w:sz w:val="24"/>
                <w:szCs w:val="24"/>
              </w:rPr>
              <w:t>阶段性整改</w:t>
            </w:r>
          </w:p>
        </w:tc>
      </w:tr>
      <w:tr>
        <w:tblPrEx>
          <w:tblCellMar>
            <w:top w:w="0" w:type="dxa"/>
            <w:left w:w="108" w:type="dxa"/>
            <w:bottom w:w="0" w:type="dxa"/>
            <w:right w:w="108" w:type="dxa"/>
          </w:tblCellMar>
        </w:tblPrEx>
        <w:trPr>
          <w:trHeight w:val="7689" w:hRule="atLeast"/>
          <w:jc w:val="center"/>
        </w:trPr>
        <w:tc>
          <w:tcPr>
            <w:tcW w:w="851" w:type="dxa"/>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cs="宋体"/>
                <w:color w:val="000000"/>
                <w:kern w:val="0"/>
                <w:sz w:val="24"/>
                <w:szCs w:val="24"/>
              </w:rPr>
            </w:pPr>
            <w:r>
              <w:rPr>
                <w:rFonts w:hint="eastAsia" w:ascii="仿宋_GB2312" w:hAnsi="宋体" w:cs="宋体"/>
                <w:color w:val="000000"/>
                <w:kern w:val="0"/>
                <w:sz w:val="24"/>
                <w:szCs w:val="24"/>
              </w:rPr>
              <w:t>2</w:t>
            </w:r>
          </w:p>
        </w:tc>
        <w:tc>
          <w:tcPr>
            <w:tcW w:w="905"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cs="宋体"/>
                <w:color w:val="000000"/>
                <w:kern w:val="0"/>
                <w:sz w:val="24"/>
                <w:szCs w:val="24"/>
              </w:rPr>
            </w:pPr>
            <w:r>
              <w:rPr>
                <w:rFonts w:hint="eastAsia" w:ascii="仿宋_GB2312" w:hAnsi="宋体" w:cs="宋体"/>
                <w:color w:val="000000"/>
                <w:kern w:val="0"/>
                <w:sz w:val="24"/>
                <w:szCs w:val="24"/>
              </w:rPr>
              <w:t>四、重大政策措施落实跟踪审计情况</w:t>
            </w:r>
          </w:p>
        </w:tc>
        <w:tc>
          <w:tcPr>
            <w:tcW w:w="937"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cs="宋体"/>
                <w:color w:val="000000"/>
                <w:kern w:val="0"/>
                <w:sz w:val="24"/>
                <w:szCs w:val="24"/>
              </w:rPr>
            </w:pPr>
            <w:r>
              <w:rPr>
                <w:rFonts w:hint="eastAsia" w:ascii="仿宋_GB2312" w:hAnsi="宋体" w:cs="宋体"/>
                <w:color w:val="000000"/>
                <w:kern w:val="0"/>
                <w:sz w:val="24"/>
                <w:szCs w:val="24"/>
              </w:rPr>
              <w:t>（二）推进基础研究发展政策落实方面</w:t>
            </w:r>
          </w:p>
        </w:tc>
        <w:tc>
          <w:tcPr>
            <w:tcW w:w="1372"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cs="宋体"/>
                <w:color w:val="000000"/>
                <w:kern w:val="0"/>
                <w:sz w:val="24"/>
                <w:szCs w:val="24"/>
              </w:rPr>
            </w:pPr>
            <w:r>
              <w:rPr>
                <w:rFonts w:hint="eastAsia" w:ascii="仿宋_GB2312" w:hAnsi="宋体" w:cs="宋体"/>
                <w:color w:val="000000"/>
                <w:kern w:val="0"/>
                <w:sz w:val="24"/>
                <w:szCs w:val="24"/>
              </w:rPr>
              <w:t>未有效监管新型科研机构的采购和招投标活动</w:t>
            </w:r>
          </w:p>
        </w:tc>
        <w:tc>
          <w:tcPr>
            <w:tcW w:w="2392"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cs="宋体"/>
                <w:color w:val="000000"/>
                <w:kern w:val="0"/>
                <w:sz w:val="24"/>
                <w:szCs w:val="24"/>
              </w:rPr>
            </w:pPr>
            <w:r>
              <w:rPr>
                <w:rFonts w:hint="eastAsia" w:ascii="仿宋_GB2312" w:hAnsi="宋体" w:cs="宋体"/>
                <w:color w:val="000000"/>
                <w:kern w:val="0"/>
                <w:sz w:val="24"/>
                <w:szCs w:val="24"/>
              </w:rPr>
              <w:t>审计抽查了19家科研机构497个项目，有18家机构269个项目存在未通过政府采购平台集中采购、未按规定公开招标等问题。</w:t>
            </w:r>
          </w:p>
        </w:tc>
        <w:tc>
          <w:tcPr>
            <w:tcW w:w="868"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cs="宋体"/>
                <w:color w:val="000000"/>
                <w:kern w:val="0"/>
                <w:sz w:val="24"/>
                <w:szCs w:val="24"/>
              </w:rPr>
            </w:pPr>
            <w:r>
              <w:rPr>
                <w:rFonts w:hint="eastAsia" w:ascii="仿宋_GB2312" w:hAnsi="宋体" w:cs="宋体"/>
                <w:color w:val="000000"/>
                <w:kern w:val="0"/>
                <w:sz w:val="24"/>
                <w:szCs w:val="24"/>
              </w:rPr>
              <w:t>市科技创新委</w:t>
            </w:r>
          </w:p>
        </w:tc>
        <w:tc>
          <w:tcPr>
            <w:tcW w:w="1984" w:type="dxa"/>
            <w:tcBorders>
              <w:top w:val="nil"/>
              <w:left w:val="nil"/>
              <w:bottom w:val="single" w:color="auto" w:sz="4" w:space="0"/>
              <w:right w:val="single" w:color="auto" w:sz="4" w:space="0"/>
            </w:tcBorders>
            <w:vAlign w:val="center"/>
          </w:tcPr>
          <w:p>
            <w:pPr>
              <w:widowControl/>
              <w:spacing w:line="360" w:lineRule="exact"/>
              <w:rPr>
                <w:rFonts w:ascii="仿宋_GB2312" w:hAnsi="宋体" w:cs="宋体"/>
                <w:color w:val="000000"/>
                <w:kern w:val="0"/>
                <w:sz w:val="24"/>
                <w:szCs w:val="24"/>
              </w:rPr>
            </w:pPr>
            <w:r>
              <w:rPr>
                <w:rFonts w:hint="eastAsia" w:ascii="仿宋_GB2312" w:hAnsi="宋体" w:cs="宋体"/>
                <w:color w:val="000000"/>
                <w:kern w:val="0"/>
                <w:sz w:val="24"/>
                <w:szCs w:val="24"/>
              </w:rPr>
              <w:t xml:space="preserve">市科技创新委要加强对新型科研机构使用财政资金开展采购和招投标活动的监管，完善相关制度。 </w:t>
            </w:r>
          </w:p>
        </w:tc>
        <w:tc>
          <w:tcPr>
            <w:tcW w:w="4526" w:type="dxa"/>
            <w:tcBorders>
              <w:top w:val="nil"/>
              <w:left w:val="nil"/>
              <w:bottom w:val="single" w:color="auto" w:sz="4" w:space="0"/>
              <w:right w:val="single" w:color="auto" w:sz="4" w:space="0"/>
            </w:tcBorders>
            <w:vAlign w:val="center"/>
          </w:tcPr>
          <w:p>
            <w:pPr>
              <w:widowControl/>
              <w:spacing w:line="360" w:lineRule="exact"/>
              <w:jc w:val="left"/>
              <w:rPr>
                <w:rFonts w:ascii="仿宋_GB2312" w:hAnsi="宋体" w:cs="宋体"/>
                <w:color w:val="000000"/>
                <w:kern w:val="0"/>
                <w:sz w:val="24"/>
                <w:szCs w:val="24"/>
              </w:rPr>
            </w:pPr>
            <w:r>
              <w:rPr>
                <w:rFonts w:hint="eastAsia" w:ascii="仿宋_GB2312" w:hAnsi="宋体" w:cs="宋体"/>
                <w:color w:val="000000"/>
                <w:kern w:val="0"/>
                <w:sz w:val="24"/>
                <w:szCs w:val="24"/>
              </w:rPr>
              <w:t>我市已于2021年8月印发相关通知，将未纳入财政预算管理、其他组织利用国有资产举办的事业单位采购行为纳入管理范围，明确其采购主体应根据预算编制采购计划，通过政府集中采购平台进行采购。市科技创新委履行主管职责，指导和规范科研机构采购行为。一是进行采购工作指导。已为新型科研机构开展采购政策讲解和政府采购申报操作流程培训。二是督促规范采购活动。截至2021年11月底，审计指出未通过政府采购平台集中采购的6家机构，3家已使用政府采购平台开展集中采购工作，1家正注册采购账户，1家受组织形式限制无法注册账户，1家已处于清算阶段。三是加强采购行为监管。对审计指出未按规定公开招标的12家机构和无法开展集中采购的机构，加强采购相关财务重要事项的监管，保障财政资金安全。</w:t>
            </w:r>
          </w:p>
        </w:tc>
        <w:tc>
          <w:tcPr>
            <w:tcW w:w="1399"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hAnsi="宋体" w:cs="宋体"/>
                <w:color w:val="000000"/>
                <w:kern w:val="0"/>
                <w:sz w:val="24"/>
                <w:szCs w:val="24"/>
              </w:rPr>
            </w:pPr>
            <w:r>
              <w:rPr>
                <w:rFonts w:hint="eastAsia" w:ascii="仿宋_GB2312" w:hAnsi="宋体" w:cs="宋体"/>
                <w:color w:val="000000"/>
                <w:kern w:val="0"/>
                <w:sz w:val="24"/>
                <w:szCs w:val="24"/>
              </w:rPr>
              <w:t>阶段性整改</w:t>
            </w:r>
          </w:p>
        </w:tc>
      </w:tr>
      <w:tr>
        <w:tblPrEx>
          <w:tblCellMar>
            <w:top w:w="0" w:type="dxa"/>
            <w:left w:w="108" w:type="dxa"/>
            <w:bottom w:w="0" w:type="dxa"/>
            <w:right w:w="108" w:type="dxa"/>
          </w:tblCellMar>
        </w:tblPrEx>
        <w:trPr>
          <w:trHeight w:val="2828" w:hRule="atLeast"/>
          <w:jc w:val="center"/>
        </w:trPr>
        <w:tc>
          <w:tcPr>
            <w:tcW w:w="851" w:type="dxa"/>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cs="宋体"/>
                <w:color w:val="000000"/>
                <w:kern w:val="0"/>
                <w:sz w:val="24"/>
                <w:szCs w:val="24"/>
              </w:rPr>
            </w:pPr>
            <w:r>
              <w:rPr>
                <w:rFonts w:hint="eastAsia" w:ascii="仿宋_GB2312" w:hAnsi="宋体" w:cs="宋体"/>
                <w:color w:val="000000"/>
                <w:kern w:val="0"/>
                <w:sz w:val="24"/>
                <w:szCs w:val="24"/>
              </w:rPr>
              <w:t>3</w:t>
            </w:r>
          </w:p>
        </w:tc>
        <w:tc>
          <w:tcPr>
            <w:tcW w:w="905" w:type="dxa"/>
            <w:tcBorders>
              <w:top w:val="nil"/>
              <w:left w:val="nil"/>
              <w:bottom w:val="single" w:color="auto" w:sz="4" w:space="0"/>
              <w:right w:val="single" w:color="auto" w:sz="4" w:space="0"/>
            </w:tcBorders>
            <w:vAlign w:val="center"/>
          </w:tcPr>
          <w:p>
            <w:pPr>
              <w:widowControl/>
              <w:spacing w:line="360" w:lineRule="exact"/>
              <w:jc w:val="left"/>
              <w:rPr>
                <w:rFonts w:ascii="仿宋_GB2312" w:hAnsi="宋体" w:cs="宋体"/>
                <w:color w:val="000000"/>
                <w:kern w:val="0"/>
                <w:sz w:val="24"/>
                <w:szCs w:val="24"/>
              </w:rPr>
            </w:pPr>
            <w:r>
              <w:rPr>
                <w:rFonts w:hint="eastAsia" w:ascii="仿宋_GB2312" w:hAnsi="宋体" w:cs="宋体"/>
                <w:color w:val="000000"/>
                <w:kern w:val="0"/>
                <w:sz w:val="24"/>
                <w:szCs w:val="24"/>
              </w:rPr>
              <w:t>五、重大专项审计情况</w:t>
            </w:r>
          </w:p>
        </w:tc>
        <w:tc>
          <w:tcPr>
            <w:tcW w:w="937" w:type="dxa"/>
            <w:tcBorders>
              <w:top w:val="nil"/>
              <w:left w:val="nil"/>
              <w:bottom w:val="single" w:color="auto" w:sz="4" w:space="0"/>
              <w:right w:val="single" w:color="auto" w:sz="4" w:space="0"/>
            </w:tcBorders>
            <w:vAlign w:val="center"/>
          </w:tcPr>
          <w:p>
            <w:pPr>
              <w:widowControl/>
              <w:spacing w:line="360" w:lineRule="exact"/>
              <w:jc w:val="left"/>
              <w:rPr>
                <w:rFonts w:ascii="仿宋_GB2312" w:hAnsi="宋体" w:cs="宋体"/>
                <w:color w:val="000000"/>
                <w:kern w:val="0"/>
                <w:sz w:val="24"/>
                <w:szCs w:val="24"/>
              </w:rPr>
            </w:pPr>
            <w:r>
              <w:rPr>
                <w:rFonts w:hint="eastAsia" w:ascii="仿宋_GB2312" w:hAnsi="宋体" w:cs="宋体"/>
                <w:color w:val="000000"/>
                <w:kern w:val="0"/>
                <w:sz w:val="24"/>
                <w:szCs w:val="24"/>
              </w:rPr>
              <w:t>（二）专项资金管理使用情况</w:t>
            </w:r>
          </w:p>
        </w:tc>
        <w:tc>
          <w:tcPr>
            <w:tcW w:w="1372" w:type="dxa"/>
            <w:tcBorders>
              <w:top w:val="nil"/>
              <w:left w:val="nil"/>
              <w:bottom w:val="single" w:color="auto" w:sz="4" w:space="0"/>
              <w:right w:val="single" w:color="auto" w:sz="4" w:space="0"/>
            </w:tcBorders>
            <w:vAlign w:val="center"/>
          </w:tcPr>
          <w:p>
            <w:pPr>
              <w:widowControl/>
              <w:spacing w:line="360" w:lineRule="exact"/>
              <w:jc w:val="left"/>
              <w:rPr>
                <w:rFonts w:ascii="仿宋_GB2312" w:hAnsi="宋体" w:cs="宋体"/>
                <w:color w:val="000000"/>
                <w:kern w:val="0"/>
                <w:sz w:val="24"/>
                <w:szCs w:val="24"/>
              </w:rPr>
            </w:pPr>
            <w:r>
              <w:rPr>
                <w:rFonts w:hint="eastAsia" w:ascii="仿宋_GB2312" w:hAnsi="宋体" w:cs="宋体"/>
                <w:color w:val="000000"/>
                <w:kern w:val="0"/>
                <w:sz w:val="24"/>
                <w:szCs w:val="24"/>
              </w:rPr>
              <w:t>个别资助项目申报制度不够健全</w:t>
            </w:r>
          </w:p>
        </w:tc>
        <w:tc>
          <w:tcPr>
            <w:tcW w:w="2392" w:type="dxa"/>
            <w:tcBorders>
              <w:top w:val="nil"/>
              <w:left w:val="nil"/>
              <w:bottom w:val="single" w:color="auto" w:sz="4" w:space="0"/>
              <w:right w:val="single" w:color="auto" w:sz="4" w:space="0"/>
            </w:tcBorders>
            <w:vAlign w:val="center"/>
          </w:tcPr>
          <w:p>
            <w:pPr>
              <w:widowControl/>
              <w:spacing w:line="360" w:lineRule="exact"/>
              <w:rPr>
                <w:rFonts w:ascii="仿宋_GB2312" w:hAnsi="宋体" w:cs="宋体"/>
                <w:color w:val="000000"/>
                <w:kern w:val="0"/>
                <w:sz w:val="24"/>
                <w:szCs w:val="24"/>
              </w:rPr>
            </w:pPr>
            <w:r>
              <w:rPr>
                <w:rFonts w:hint="eastAsia" w:ascii="仿宋_GB2312" w:hAnsi="宋体" w:cs="宋体"/>
                <w:color w:val="000000"/>
                <w:kern w:val="0"/>
                <w:sz w:val="24"/>
                <w:szCs w:val="24"/>
              </w:rPr>
              <w:t>一是个别项目未明确申报及评审条件。商务部门未明确专项资金部分子项目评审专家界定标准、操作规程等，导致资金资助的针对性不强。</w:t>
            </w:r>
          </w:p>
        </w:tc>
        <w:tc>
          <w:tcPr>
            <w:tcW w:w="868"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cs="宋体"/>
                <w:color w:val="000000"/>
                <w:kern w:val="0"/>
                <w:sz w:val="24"/>
                <w:szCs w:val="24"/>
              </w:rPr>
            </w:pPr>
            <w:r>
              <w:rPr>
                <w:rFonts w:hint="eastAsia" w:ascii="仿宋_GB2312" w:hAnsi="宋体" w:cs="宋体"/>
                <w:color w:val="000000"/>
                <w:kern w:val="0"/>
                <w:sz w:val="24"/>
                <w:szCs w:val="24"/>
              </w:rPr>
              <w:t>市商务局</w:t>
            </w:r>
          </w:p>
        </w:tc>
        <w:tc>
          <w:tcPr>
            <w:tcW w:w="1984" w:type="dxa"/>
            <w:vMerge w:val="restart"/>
            <w:tcBorders>
              <w:top w:val="nil"/>
              <w:left w:val="single" w:color="auto" w:sz="4" w:space="0"/>
              <w:bottom w:val="single" w:color="000000" w:sz="4" w:space="0"/>
              <w:right w:val="single" w:color="auto" w:sz="4" w:space="0"/>
            </w:tcBorders>
            <w:vAlign w:val="center"/>
          </w:tcPr>
          <w:p>
            <w:pPr>
              <w:widowControl/>
              <w:spacing w:line="360" w:lineRule="exact"/>
              <w:rPr>
                <w:rFonts w:ascii="仿宋_GB2312" w:hAnsi="宋体" w:cs="宋体"/>
                <w:color w:val="000000"/>
                <w:kern w:val="0"/>
                <w:sz w:val="24"/>
                <w:szCs w:val="24"/>
              </w:rPr>
            </w:pPr>
            <w:r>
              <w:rPr>
                <w:rFonts w:hint="eastAsia" w:ascii="仿宋_GB2312" w:hAnsi="宋体" w:cs="宋体"/>
                <w:color w:val="000000"/>
                <w:kern w:val="0"/>
                <w:sz w:val="24"/>
                <w:szCs w:val="24"/>
              </w:rPr>
              <w:t>市商务局、工业和信息化局要进一步完善专项资金管理使用的相关制度，梳理界定申报标准，细化申报条件，建立惩处机制，推动资助扶持工作提质增效。</w:t>
            </w:r>
          </w:p>
        </w:tc>
        <w:tc>
          <w:tcPr>
            <w:tcW w:w="4526" w:type="dxa"/>
            <w:tcBorders>
              <w:top w:val="nil"/>
              <w:left w:val="nil"/>
              <w:bottom w:val="single" w:color="auto" w:sz="4" w:space="0"/>
              <w:right w:val="single" w:color="auto" w:sz="4" w:space="0"/>
            </w:tcBorders>
            <w:vAlign w:val="center"/>
          </w:tcPr>
          <w:p>
            <w:pPr>
              <w:widowControl/>
              <w:spacing w:line="360" w:lineRule="exact"/>
              <w:jc w:val="left"/>
              <w:rPr>
                <w:rFonts w:ascii="仿宋_GB2312" w:hAnsi="宋体" w:cs="宋体"/>
                <w:color w:val="000000"/>
                <w:kern w:val="0"/>
                <w:sz w:val="24"/>
                <w:szCs w:val="24"/>
              </w:rPr>
            </w:pPr>
            <w:r>
              <w:rPr>
                <w:rFonts w:hint="eastAsia" w:ascii="仿宋_GB2312" w:hAnsi="宋体" w:cs="宋体"/>
                <w:color w:val="000000"/>
                <w:kern w:val="0"/>
                <w:sz w:val="24"/>
                <w:szCs w:val="24"/>
              </w:rPr>
              <w:t>因涉及项目设立已超5年且政策环境已发生变化，市商务局经认真研究并征求相关部门意见后，决定对该项目实行到期退出，不再安排预算。</w:t>
            </w:r>
          </w:p>
        </w:tc>
        <w:tc>
          <w:tcPr>
            <w:tcW w:w="1399"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hAnsi="宋体" w:cs="宋体"/>
                <w:color w:val="000000"/>
                <w:kern w:val="0"/>
                <w:sz w:val="24"/>
                <w:szCs w:val="24"/>
              </w:rPr>
            </w:pPr>
            <w:r>
              <w:rPr>
                <w:rFonts w:hint="eastAsia" w:ascii="仿宋_GB2312" w:hAnsi="宋体" w:cs="宋体"/>
                <w:color w:val="000000"/>
                <w:kern w:val="0"/>
                <w:sz w:val="24"/>
                <w:szCs w:val="24"/>
              </w:rPr>
              <w:t>已整改</w:t>
            </w:r>
          </w:p>
        </w:tc>
      </w:tr>
      <w:tr>
        <w:tblPrEx>
          <w:tblCellMar>
            <w:top w:w="0" w:type="dxa"/>
            <w:left w:w="108" w:type="dxa"/>
            <w:bottom w:w="0" w:type="dxa"/>
            <w:right w:w="108" w:type="dxa"/>
          </w:tblCellMar>
        </w:tblPrEx>
        <w:trPr>
          <w:trHeight w:val="3520" w:hRule="atLeast"/>
          <w:jc w:val="center"/>
        </w:trPr>
        <w:tc>
          <w:tcPr>
            <w:tcW w:w="851" w:type="dxa"/>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cs="宋体"/>
                <w:color w:val="000000"/>
                <w:kern w:val="0"/>
                <w:sz w:val="24"/>
                <w:szCs w:val="24"/>
              </w:rPr>
            </w:pPr>
            <w:r>
              <w:rPr>
                <w:rFonts w:hint="eastAsia" w:ascii="仿宋_GB2312" w:hAnsi="宋体" w:cs="宋体"/>
                <w:color w:val="000000"/>
                <w:kern w:val="0"/>
                <w:sz w:val="24"/>
                <w:szCs w:val="24"/>
              </w:rPr>
              <w:t>4</w:t>
            </w:r>
          </w:p>
        </w:tc>
        <w:tc>
          <w:tcPr>
            <w:tcW w:w="905" w:type="dxa"/>
            <w:tcBorders>
              <w:top w:val="nil"/>
              <w:left w:val="nil"/>
              <w:bottom w:val="single" w:color="auto" w:sz="4" w:space="0"/>
              <w:right w:val="single" w:color="auto" w:sz="4" w:space="0"/>
            </w:tcBorders>
            <w:vAlign w:val="center"/>
          </w:tcPr>
          <w:p>
            <w:pPr>
              <w:widowControl/>
              <w:spacing w:line="360" w:lineRule="exact"/>
              <w:jc w:val="left"/>
              <w:rPr>
                <w:rFonts w:ascii="仿宋_GB2312" w:hAnsi="宋体" w:cs="宋体"/>
                <w:color w:val="000000"/>
                <w:kern w:val="0"/>
                <w:sz w:val="24"/>
                <w:szCs w:val="24"/>
              </w:rPr>
            </w:pPr>
            <w:r>
              <w:rPr>
                <w:rFonts w:hint="eastAsia" w:ascii="仿宋_GB2312" w:hAnsi="宋体" w:cs="宋体"/>
                <w:color w:val="000000"/>
                <w:kern w:val="0"/>
                <w:sz w:val="24"/>
                <w:szCs w:val="24"/>
              </w:rPr>
              <w:t>五、重大专项审计情况</w:t>
            </w:r>
          </w:p>
        </w:tc>
        <w:tc>
          <w:tcPr>
            <w:tcW w:w="937" w:type="dxa"/>
            <w:tcBorders>
              <w:top w:val="nil"/>
              <w:left w:val="nil"/>
              <w:bottom w:val="single" w:color="auto" w:sz="4" w:space="0"/>
              <w:right w:val="single" w:color="auto" w:sz="4" w:space="0"/>
            </w:tcBorders>
            <w:vAlign w:val="center"/>
          </w:tcPr>
          <w:p>
            <w:pPr>
              <w:widowControl/>
              <w:spacing w:line="360" w:lineRule="exact"/>
              <w:jc w:val="left"/>
              <w:rPr>
                <w:rFonts w:ascii="仿宋_GB2312" w:hAnsi="宋体" w:cs="宋体"/>
                <w:color w:val="000000"/>
                <w:kern w:val="0"/>
                <w:sz w:val="24"/>
                <w:szCs w:val="24"/>
              </w:rPr>
            </w:pPr>
            <w:r>
              <w:rPr>
                <w:rFonts w:hint="eastAsia" w:ascii="仿宋_GB2312" w:hAnsi="宋体" w:cs="宋体"/>
                <w:color w:val="000000"/>
                <w:kern w:val="0"/>
                <w:sz w:val="24"/>
                <w:szCs w:val="24"/>
              </w:rPr>
              <w:t>（二）专项资金管理使用情况</w:t>
            </w:r>
          </w:p>
        </w:tc>
        <w:tc>
          <w:tcPr>
            <w:tcW w:w="1372" w:type="dxa"/>
            <w:tcBorders>
              <w:top w:val="nil"/>
              <w:left w:val="nil"/>
              <w:bottom w:val="single" w:color="auto" w:sz="4" w:space="0"/>
              <w:right w:val="single" w:color="auto" w:sz="4" w:space="0"/>
            </w:tcBorders>
            <w:vAlign w:val="center"/>
          </w:tcPr>
          <w:p>
            <w:pPr>
              <w:widowControl/>
              <w:spacing w:line="360" w:lineRule="exact"/>
              <w:jc w:val="left"/>
              <w:rPr>
                <w:rFonts w:ascii="仿宋_GB2312" w:hAnsi="宋体" w:cs="宋体"/>
                <w:color w:val="000000"/>
                <w:kern w:val="0"/>
                <w:sz w:val="24"/>
                <w:szCs w:val="24"/>
              </w:rPr>
            </w:pPr>
            <w:r>
              <w:rPr>
                <w:rFonts w:hint="eastAsia" w:ascii="仿宋_GB2312" w:hAnsi="宋体" w:cs="宋体"/>
                <w:color w:val="000000"/>
                <w:kern w:val="0"/>
                <w:sz w:val="24"/>
                <w:szCs w:val="24"/>
              </w:rPr>
              <w:t>个别资助项目申报制度不够健全</w:t>
            </w:r>
          </w:p>
        </w:tc>
        <w:tc>
          <w:tcPr>
            <w:tcW w:w="2392" w:type="dxa"/>
            <w:tcBorders>
              <w:top w:val="nil"/>
              <w:left w:val="nil"/>
              <w:bottom w:val="single" w:color="auto" w:sz="4" w:space="0"/>
              <w:right w:val="single" w:color="auto" w:sz="4" w:space="0"/>
            </w:tcBorders>
            <w:vAlign w:val="center"/>
          </w:tcPr>
          <w:p>
            <w:pPr>
              <w:widowControl/>
              <w:spacing w:line="360" w:lineRule="exact"/>
              <w:rPr>
                <w:rFonts w:ascii="仿宋_GB2312" w:hAnsi="宋体" w:cs="宋体"/>
                <w:color w:val="000000"/>
                <w:kern w:val="0"/>
                <w:sz w:val="24"/>
                <w:szCs w:val="24"/>
              </w:rPr>
            </w:pPr>
            <w:r>
              <w:rPr>
                <w:rFonts w:hint="eastAsia" w:ascii="仿宋_GB2312" w:hAnsi="宋体" w:cs="宋体"/>
                <w:color w:val="000000"/>
                <w:kern w:val="0"/>
                <w:sz w:val="24"/>
                <w:szCs w:val="24"/>
              </w:rPr>
              <w:t>二是个别项目未制定有效约束制度。工信部门未在企业技术改造扶持计划申领方面制定有效制度，约束企业申领补贴后转移项目至外地实施的行为。</w:t>
            </w:r>
          </w:p>
        </w:tc>
        <w:tc>
          <w:tcPr>
            <w:tcW w:w="868"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cs="宋体"/>
                <w:color w:val="000000"/>
                <w:kern w:val="0"/>
                <w:sz w:val="24"/>
                <w:szCs w:val="24"/>
              </w:rPr>
            </w:pPr>
            <w:r>
              <w:rPr>
                <w:rFonts w:hint="eastAsia" w:ascii="仿宋_GB2312" w:hAnsi="宋体" w:cs="宋体"/>
                <w:color w:val="000000"/>
                <w:kern w:val="0"/>
                <w:sz w:val="24"/>
                <w:szCs w:val="24"/>
              </w:rPr>
              <w:t>市工业和信息化局</w:t>
            </w:r>
          </w:p>
        </w:tc>
        <w:tc>
          <w:tcPr>
            <w:tcW w:w="1984"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ascii="仿宋_GB2312" w:hAnsi="宋体" w:cs="宋体"/>
                <w:color w:val="000000"/>
                <w:kern w:val="0"/>
                <w:sz w:val="24"/>
                <w:szCs w:val="24"/>
              </w:rPr>
            </w:pPr>
          </w:p>
        </w:tc>
        <w:tc>
          <w:tcPr>
            <w:tcW w:w="4526" w:type="dxa"/>
            <w:tcBorders>
              <w:top w:val="nil"/>
              <w:left w:val="nil"/>
              <w:bottom w:val="single" w:color="auto" w:sz="4" w:space="0"/>
              <w:right w:val="single" w:color="auto" w:sz="4" w:space="0"/>
            </w:tcBorders>
            <w:vAlign w:val="center"/>
          </w:tcPr>
          <w:p>
            <w:pPr>
              <w:widowControl/>
              <w:spacing w:line="360" w:lineRule="exact"/>
              <w:jc w:val="left"/>
              <w:rPr>
                <w:rFonts w:ascii="仿宋_GB2312" w:hAnsi="宋体" w:cs="宋体"/>
                <w:color w:val="000000"/>
                <w:kern w:val="0"/>
                <w:sz w:val="24"/>
                <w:szCs w:val="24"/>
              </w:rPr>
            </w:pPr>
            <w:r>
              <w:rPr>
                <w:rFonts w:hint="eastAsia" w:ascii="仿宋_GB2312" w:hAnsi="宋体" w:cs="宋体"/>
                <w:color w:val="000000"/>
                <w:kern w:val="0"/>
                <w:sz w:val="24"/>
                <w:szCs w:val="24"/>
              </w:rPr>
              <w:t>市工业和信息化局健全项目约束制度，出台企业技术改造项目扶持计划操作规程，明确企业存在申领资助资金后2年内转移设备至深圳市外情形的，撤销其资助项目，并追缴已取得的全额资助资金及其孳息。</w:t>
            </w:r>
          </w:p>
        </w:tc>
        <w:tc>
          <w:tcPr>
            <w:tcW w:w="1399"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hAnsi="宋体" w:cs="宋体"/>
                <w:color w:val="000000"/>
                <w:kern w:val="0"/>
                <w:sz w:val="24"/>
                <w:szCs w:val="24"/>
              </w:rPr>
            </w:pPr>
            <w:r>
              <w:rPr>
                <w:rFonts w:hint="eastAsia" w:ascii="仿宋_GB2312" w:hAnsi="宋体" w:cs="宋体"/>
                <w:color w:val="000000"/>
                <w:kern w:val="0"/>
                <w:sz w:val="24"/>
                <w:szCs w:val="24"/>
              </w:rPr>
              <w:t>已整改</w:t>
            </w:r>
          </w:p>
        </w:tc>
      </w:tr>
    </w:tbl>
    <w:p>
      <w:pPr>
        <w:snapToGrid w:val="0"/>
        <w:spacing w:line="579" w:lineRule="exact"/>
        <w:rPr>
          <w:rFonts w:ascii="黑体" w:eastAsia="黑体"/>
        </w:rPr>
        <w:sectPr>
          <w:footerReference r:id="rId3" w:type="default"/>
          <w:footerReference r:id="rId4" w:type="even"/>
          <w:pgSz w:w="16840" w:h="11907" w:orient="landscape"/>
          <w:pgMar w:top="1417" w:right="1417" w:bottom="1417" w:left="1417" w:header="851" w:footer="1134" w:gutter="0"/>
          <w:cols w:space="720" w:num="1"/>
          <w:formProt w:val="0"/>
          <w:docGrid w:type="lines" w:linePitch="579" w:charSpace="0"/>
        </w:sectPr>
      </w:pPr>
      <w:bookmarkStart w:id="0" w:name="文件标题"/>
      <w:bookmarkEnd w:id="0"/>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321435" cy="230505"/>
              <wp:effectExtent l="0" t="0" r="0" b="0"/>
              <wp:wrapNone/>
              <wp:docPr id="3" name="Text Box 1026"/>
              <wp:cNvGraphicFramePr/>
              <a:graphic xmlns:a="http://schemas.openxmlformats.org/drawingml/2006/main">
                <a:graphicData uri="http://schemas.microsoft.com/office/word/2010/wordprocessingShape">
                  <wps:wsp>
                    <wps:cNvSpPr txBox="1">
                      <a:spLocks noChangeArrowheads="1"/>
                    </wps:cNvSpPr>
                    <wps:spPr bwMode="auto">
                      <a:xfrm>
                        <a:off x="0" y="0"/>
                        <a:ext cx="1321435" cy="230505"/>
                      </a:xfrm>
                      <a:prstGeom prst="rect">
                        <a:avLst/>
                      </a:prstGeom>
                      <a:noFill/>
                      <a:ln>
                        <a:noFill/>
                      </a:ln>
                    </wps:spPr>
                    <wps:txbx>
                      <w:txbxContent>
                        <w:p>
                          <w:pPr>
                            <w:pStyle w:val="2"/>
                            <w:ind w:left="480" w:leftChars="150" w:right="480" w:rightChars="15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31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vert="horz" wrap="none" lIns="0" tIns="0" rIns="0" bIns="0" anchor="t" anchorCtr="0" upright="1">
                      <a:spAutoFit/>
                    </wps:bodyPr>
                  </wps:wsp>
                </a:graphicData>
              </a:graphic>
            </wp:anchor>
          </w:drawing>
        </mc:Choice>
        <mc:Fallback>
          <w:pict>
            <v:shape id="Text Box 1026" o:spid="_x0000_s1026" o:spt="202" type="#_x0000_t202" style="position:absolute;left:0pt;margin-top:0pt;height:18.15pt;width:104.05pt;mso-position-horizontal:outside;mso-position-horizontal-relative:margin;mso-wrap-style:none;z-index:251660288;mso-width-relative:page;mso-height-relative:page;" filled="f" stroked="f" coordsize="21600,21600" o:gfxdata="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Xv00b0gAAAAQBAAAPAAAAAAAAAAEAIAAAACIAAABkcnMvZG93bnJldi54bWxQ&#10;SwECFAAUAAAACACHTuJAhheQaf0BAAAFBAAADgAAAAAAAAABACAAAAAhAQAAZHJzL2Uyb0RvYy54&#10;bWxQSwUGAAAAAAYABgBZAQAAkAUAAAAA&#10;">
              <v:fill on="f" focussize="0,0"/>
              <v:stroke on="f"/>
              <v:imagedata o:title=""/>
              <o:lock v:ext="edit" aspectratio="f"/>
              <v:textbox inset="0mm,0mm,0mm,0mm" style="mso-fit-shape-to-text:t;">
                <w:txbxContent>
                  <w:p>
                    <w:pPr>
                      <w:pStyle w:val="2"/>
                      <w:ind w:left="480" w:leftChars="150" w:right="480" w:rightChars="15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31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14935" cy="233680"/>
              <wp:effectExtent l="0" t="0" r="0" b="0"/>
              <wp:wrapNone/>
              <wp:docPr id="2" name="Text Box 1027"/>
              <wp:cNvGraphicFramePr/>
              <a:graphic xmlns:a="http://schemas.openxmlformats.org/drawingml/2006/main">
                <a:graphicData uri="http://schemas.microsoft.com/office/word/2010/wordprocessingShape">
                  <wps:wsp>
                    <wps:cNvSpPr txBox="1">
                      <a:spLocks noChangeArrowheads="1"/>
                    </wps:cNvSpPr>
                    <wps:spPr bwMode="auto">
                      <a:xfrm>
                        <a:off x="0" y="0"/>
                        <a:ext cx="114935" cy="233680"/>
                      </a:xfrm>
                      <a:prstGeom prst="rect">
                        <a:avLst/>
                      </a:prstGeom>
                      <a:noFill/>
                      <a:ln>
                        <a:noFill/>
                      </a:ln>
                    </wps:spPr>
                    <wps:txbx>
                      <w:txbxContent>
                        <w:p/>
                      </w:txbxContent>
                    </wps:txbx>
                    <wps:bodyPr rot="0" vert="horz" wrap="none" lIns="0" tIns="0" rIns="0" bIns="0" anchor="t" anchorCtr="0" upright="1">
                      <a:spAutoFit/>
                    </wps:bodyPr>
                  </wps:wsp>
                </a:graphicData>
              </a:graphic>
            </wp:anchor>
          </w:drawing>
        </mc:Choice>
        <mc:Fallback>
          <w:pict>
            <v:shape id="Text Box 1027" o:spid="_x0000_s1026" o:spt="202" type="#_x0000_t202" style="position:absolute;left:0pt;margin-top:0pt;height:18.4pt;width:9.05pt;mso-position-horizontal:outside;mso-position-horizontal-relative:margin;mso-wrap-style:none;z-index:251659264;mso-width-relative:page;mso-height-relative:page;" filled="f" stroked="f" coordsize="21600,21600" o:gfxdata="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m0YEdAAAAADAQAADwAAAAAAAAABACAAAAAiAAAAZHJzL2Rvd25yZXYueG1sUEsB&#10;AhQAFAAAAAgAh07iQI/LAgz9AQAABAQAAA4AAAAAAAAAAQAgAAAAHwEAAGRycy9lMm9Eb2MueG1s&#10;UEsFBgAAAAAGAAYAWQEAAI4FA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736" w:wrap="around" w:vAnchor="text" w:hAnchor="page" w:x="1996" w:y="414"/>
      <w:ind w:firstLine="280" w:firstLineChars="100"/>
      <w:rPr>
        <w:rStyle w:val="5"/>
        <w:sz w:val="28"/>
      </w:rPr>
    </w:pPr>
    <w:r>
      <w:rPr>
        <w:rStyle w:val="5"/>
        <w:rFonts w:hint="eastAsia"/>
        <w:sz w:val="28"/>
      </w:rPr>
      <w:t>—</w:t>
    </w:r>
    <w:r>
      <w:rPr>
        <w:rStyle w:val="5"/>
        <w:sz w:val="28"/>
      </w:rPr>
      <w:fldChar w:fldCharType="begin"/>
    </w:r>
    <w:r>
      <w:rPr>
        <w:rStyle w:val="5"/>
        <w:sz w:val="28"/>
      </w:rPr>
      <w:instrText xml:space="preserve">PAGE  </w:instrText>
    </w:r>
    <w:r>
      <w:rPr>
        <w:rStyle w:val="5"/>
        <w:sz w:val="28"/>
      </w:rPr>
      <w:fldChar w:fldCharType="separate"/>
    </w:r>
    <w:r>
      <w:rPr>
        <w:rStyle w:val="5"/>
        <w:sz w:val="28"/>
      </w:rPr>
      <w:t>32</w:t>
    </w:r>
    <w:r>
      <w:rPr>
        <w:rStyle w:val="5"/>
        <w:sz w:val="28"/>
      </w:rPr>
      <w:fldChar w:fldCharType="end"/>
    </w:r>
    <w:r>
      <w:rPr>
        <w:rStyle w:val="5"/>
        <w:rFonts w:hint="eastAsia"/>
        <w:sz w:val="28"/>
      </w:rPr>
      <w:t>—</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4B5108"/>
    <w:rsid w:val="039003DD"/>
    <w:rsid w:val="604B5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2021-12-28T02:49:00Z</dcterms:created>
  <dc:creator>Administrator</dc:creator>
  <cp:lastModifiedBy>Administrator</cp:lastModifiedBy>
  <dcterms:modified xsi:type="dcterms:W3CDTF">2021-12-28T07:15:55Z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207EF4434FE3483E95B89B80186EF29C</vt:lpwstr>
  </property>
</Properties>
</file>