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10" w:lineRule="exact"/>
        <w:rPr>
          <w:rFonts w:ascii="黑体" w:hAnsi="黑体" w:eastAsia="黑体" w:cs="楷体"/>
          <w:bCs/>
          <w:szCs w:val="32"/>
        </w:rPr>
      </w:pPr>
      <w:r>
        <w:rPr>
          <w:rFonts w:hint="eastAsia" w:ascii="黑体" w:hAnsi="黑体" w:eastAsia="黑体" w:cs="楷体"/>
          <w:bCs/>
          <w:szCs w:val="32"/>
        </w:rPr>
        <w:t>附件1</w:t>
      </w:r>
    </w:p>
    <w:p>
      <w:pPr>
        <w:adjustRightInd w:val="0"/>
        <w:snapToGrid w:val="0"/>
        <w:spacing w:line="510" w:lineRule="exact"/>
        <w:jc w:val="center"/>
        <w:rPr>
          <w:rFonts w:ascii="方正小标宋_GBK" w:hAnsi="方正小标宋_GBK" w:eastAsia="方正小标宋_GBK" w:cs="方正小标宋_GBK"/>
          <w:bCs/>
          <w:sz w:val="44"/>
          <w:szCs w:val="44"/>
        </w:rPr>
      </w:pPr>
      <w:bookmarkStart w:id="0" w:name="_GoBack"/>
      <w:r>
        <w:rPr>
          <w:rFonts w:hint="eastAsia" w:ascii="方正小标宋_GBK" w:hAnsi="方正小标宋_GBK" w:eastAsia="方正小标宋_GBK" w:cs="方正小标宋_GBK"/>
          <w:bCs/>
          <w:sz w:val="44"/>
          <w:szCs w:val="44"/>
        </w:rPr>
        <w:t>深圳市2020年度本级预算执行和其他财政收支审计查出问题</w:t>
      </w:r>
    </w:p>
    <w:p>
      <w:pPr>
        <w:adjustRightInd w:val="0"/>
        <w:snapToGrid w:val="0"/>
        <w:spacing w:line="51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正在整改事项一览表</w:t>
      </w:r>
    </w:p>
    <w:bookmarkEnd w:id="0"/>
    <w:tbl>
      <w:tblPr>
        <w:tblStyle w:val="3"/>
        <w:tblW w:w="15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812"/>
        <w:gridCol w:w="12"/>
        <w:gridCol w:w="874"/>
        <w:gridCol w:w="880"/>
        <w:gridCol w:w="2708"/>
        <w:gridCol w:w="1723"/>
        <w:gridCol w:w="1290"/>
        <w:gridCol w:w="2226"/>
        <w:gridCol w:w="4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blHeader/>
          <w:jc w:val="center"/>
        </w:trPr>
        <w:tc>
          <w:tcPr>
            <w:tcW w:w="793" w:type="dxa"/>
            <w:vMerge w:val="restart"/>
            <w:vAlign w:val="center"/>
          </w:tcPr>
          <w:p>
            <w:pPr>
              <w:widowControl/>
              <w:spacing w:line="360" w:lineRule="exact"/>
              <w:jc w:val="center"/>
              <w:rPr>
                <w:rFonts w:ascii="仿宋_GB2312" w:hAnsi="仿宋_GB2312" w:cs="仿宋_GB2312"/>
                <w:b/>
                <w:bCs/>
                <w:color w:val="000000"/>
                <w:kern w:val="0"/>
                <w:sz w:val="28"/>
                <w:szCs w:val="28"/>
              </w:rPr>
            </w:pPr>
            <w:r>
              <w:rPr>
                <w:rFonts w:hint="eastAsia" w:ascii="仿宋_GB2312" w:hAnsi="仿宋_GB2312" w:cs="仿宋_GB2312"/>
                <w:b/>
                <w:bCs/>
                <w:color w:val="000000"/>
                <w:kern w:val="0"/>
                <w:sz w:val="28"/>
                <w:szCs w:val="28"/>
              </w:rPr>
              <w:t>序号</w:t>
            </w:r>
          </w:p>
        </w:tc>
        <w:tc>
          <w:tcPr>
            <w:tcW w:w="824" w:type="dxa"/>
            <w:gridSpan w:val="2"/>
            <w:vMerge w:val="restart"/>
            <w:vAlign w:val="center"/>
          </w:tcPr>
          <w:p>
            <w:pPr>
              <w:widowControl/>
              <w:spacing w:line="360" w:lineRule="exact"/>
              <w:jc w:val="center"/>
              <w:rPr>
                <w:rFonts w:ascii="仿宋_GB2312" w:hAnsi="仿宋_GB2312" w:cs="仿宋_GB2312"/>
                <w:b/>
                <w:bCs/>
                <w:color w:val="000000"/>
                <w:kern w:val="0"/>
                <w:sz w:val="28"/>
                <w:szCs w:val="28"/>
              </w:rPr>
            </w:pPr>
            <w:r>
              <w:rPr>
                <w:rFonts w:hint="eastAsia" w:ascii="仿宋_GB2312" w:hAnsi="仿宋_GB2312" w:cs="仿宋_GB2312"/>
                <w:b/>
                <w:bCs/>
                <w:color w:val="000000"/>
                <w:kern w:val="0"/>
                <w:sz w:val="28"/>
                <w:szCs w:val="28"/>
              </w:rPr>
              <w:t>项目</w:t>
            </w:r>
          </w:p>
        </w:tc>
        <w:tc>
          <w:tcPr>
            <w:tcW w:w="874" w:type="dxa"/>
            <w:vMerge w:val="restart"/>
            <w:vAlign w:val="center"/>
          </w:tcPr>
          <w:p>
            <w:pPr>
              <w:widowControl/>
              <w:spacing w:line="360" w:lineRule="exact"/>
              <w:jc w:val="center"/>
              <w:rPr>
                <w:rFonts w:ascii="仿宋_GB2312" w:hAnsi="仿宋_GB2312" w:cs="仿宋_GB2312"/>
                <w:b/>
                <w:bCs/>
                <w:color w:val="000000"/>
                <w:kern w:val="0"/>
                <w:sz w:val="28"/>
                <w:szCs w:val="28"/>
              </w:rPr>
            </w:pPr>
            <w:r>
              <w:rPr>
                <w:rFonts w:hint="eastAsia" w:ascii="仿宋_GB2312" w:hAnsi="仿宋_GB2312" w:cs="仿宋_GB2312"/>
                <w:b/>
                <w:bCs/>
                <w:color w:val="000000"/>
                <w:kern w:val="0"/>
                <w:sz w:val="28"/>
                <w:szCs w:val="28"/>
              </w:rPr>
              <w:t>类别</w:t>
            </w:r>
          </w:p>
        </w:tc>
        <w:tc>
          <w:tcPr>
            <w:tcW w:w="3588" w:type="dxa"/>
            <w:gridSpan w:val="2"/>
            <w:vMerge w:val="restart"/>
            <w:vAlign w:val="center"/>
          </w:tcPr>
          <w:p>
            <w:pPr>
              <w:widowControl/>
              <w:spacing w:line="360" w:lineRule="exact"/>
              <w:jc w:val="center"/>
              <w:rPr>
                <w:rFonts w:ascii="仿宋_GB2312" w:hAnsi="仿宋_GB2312" w:cs="仿宋_GB2312"/>
                <w:b/>
                <w:bCs/>
                <w:color w:val="000000"/>
                <w:kern w:val="0"/>
                <w:sz w:val="28"/>
                <w:szCs w:val="28"/>
              </w:rPr>
            </w:pPr>
            <w:r>
              <w:rPr>
                <w:rFonts w:hint="eastAsia" w:ascii="仿宋_GB2312" w:hAnsi="仿宋_GB2312" w:cs="仿宋_GB2312"/>
                <w:b/>
                <w:bCs/>
                <w:color w:val="000000"/>
                <w:kern w:val="0"/>
                <w:sz w:val="28"/>
                <w:szCs w:val="28"/>
              </w:rPr>
              <w:t>内容</w:t>
            </w:r>
          </w:p>
        </w:tc>
        <w:tc>
          <w:tcPr>
            <w:tcW w:w="3013" w:type="dxa"/>
            <w:gridSpan w:val="2"/>
            <w:vAlign w:val="center"/>
          </w:tcPr>
          <w:p>
            <w:pPr>
              <w:widowControl/>
              <w:spacing w:line="360" w:lineRule="exact"/>
              <w:jc w:val="center"/>
              <w:rPr>
                <w:rFonts w:ascii="仿宋_GB2312" w:hAnsi="仿宋_GB2312" w:cs="仿宋_GB2312"/>
                <w:b/>
                <w:bCs/>
                <w:color w:val="000000"/>
                <w:kern w:val="0"/>
                <w:sz w:val="28"/>
                <w:szCs w:val="28"/>
              </w:rPr>
            </w:pPr>
            <w:r>
              <w:rPr>
                <w:rFonts w:hint="eastAsia" w:ascii="仿宋_GB2312" w:hAnsi="仿宋_GB2312" w:cs="仿宋_GB2312"/>
                <w:b/>
                <w:bCs/>
                <w:color w:val="000000"/>
                <w:kern w:val="0"/>
                <w:sz w:val="28"/>
                <w:szCs w:val="28"/>
              </w:rPr>
              <w:t>责任单位</w:t>
            </w:r>
          </w:p>
        </w:tc>
        <w:tc>
          <w:tcPr>
            <w:tcW w:w="2226" w:type="dxa"/>
            <w:vMerge w:val="restart"/>
            <w:vAlign w:val="center"/>
          </w:tcPr>
          <w:p>
            <w:pPr>
              <w:widowControl/>
              <w:spacing w:line="360" w:lineRule="exact"/>
              <w:jc w:val="center"/>
              <w:rPr>
                <w:rFonts w:ascii="仿宋_GB2312" w:hAnsi="仿宋_GB2312" w:cs="仿宋_GB2312"/>
                <w:b/>
                <w:bCs/>
                <w:color w:val="000000"/>
                <w:kern w:val="0"/>
                <w:sz w:val="28"/>
                <w:szCs w:val="28"/>
              </w:rPr>
            </w:pPr>
            <w:r>
              <w:rPr>
                <w:rFonts w:hint="eastAsia" w:ascii="仿宋_GB2312" w:hAnsi="仿宋_GB2312" w:cs="仿宋_GB2312"/>
                <w:b/>
                <w:bCs/>
                <w:color w:val="000000"/>
                <w:kern w:val="0"/>
                <w:sz w:val="28"/>
                <w:szCs w:val="28"/>
              </w:rPr>
              <w:t>审计建议</w:t>
            </w:r>
          </w:p>
        </w:tc>
        <w:tc>
          <w:tcPr>
            <w:tcW w:w="4197" w:type="dxa"/>
            <w:vMerge w:val="restart"/>
            <w:vAlign w:val="center"/>
          </w:tcPr>
          <w:p>
            <w:pPr>
              <w:widowControl/>
              <w:spacing w:line="360" w:lineRule="exact"/>
              <w:jc w:val="center"/>
              <w:rPr>
                <w:rFonts w:ascii="仿宋_GB2312" w:hAnsi="仿宋_GB2312" w:cs="仿宋_GB2312"/>
                <w:b/>
                <w:bCs/>
                <w:color w:val="000000"/>
                <w:kern w:val="0"/>
                <w:sz w:val="28"/>
                <w:szCs w:val="28"/>
              </w:rPr>
            </w:pPr>
            <w:r>
              <w:rPr>
                <w:rFonts w:hint="eastAsia" w:ascii="仿宋_GB2312" w:hAnsi="仿宋_GB2312" w:cs="仿宋_GB2312"/>
                <w:b/>
                <w:bCs/>
                <w:color w:val="000000"/>
                <w:kern w:val="0"/>
                <w:sz w:val="28"/>
                <w:szCs w:val="28"/>
              </w:rPr>
              <w:t>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tblHeader/>
          <w:jc w:val="center"/>
        </w:trPr>
        <w:tc>
          <w:tcPr>
            <w:tcW w:w="793" w:type="dxa"/>
            <w:vMerge w:val="continue"/>
            <w:vAlign w:val="center"/>
          </w:tcPr>
          <w:p>
            <w:pPr>
              <w:widowControl/>
              <w:spacing w:line="360" w:lineRule="exact"/>
              <w:jc w:val="left"/>
              <w:rPr>
                <w:rFonts w:ascii="仿宋_GB2312" w:hAnsi="仿宋_GB2312" w:cs="仿宋_GB2312"/>
                <w:b/>
                <w:bCs/>
                <w:color w:val="000000"/>
                <w:kern w:val="0"/>
                <w:sz w:val="28"/>
                <w:szCs w:val="28"/>
              </w:rPr>
            </w:pPr>
          </w:p>
        </w:tc>
        <w:tc>
          <w:tcPr>
            <w:tcW w:w="824" w:type="dxa"/>
            <w:gridSpan w:val="2"/>
            <w:vMerge w:val="continue"/>
            <w:vAlign w:val="center"/>
          </w:tcPr>
          <w:p>
            <w:pPr>
              <w:widowControl/>
              <w:spacing w:line="360" w:lineRule="exact"/>
              <w:jc w:val="left"/>
              <w:rPr>
                <w:rFonts w:ascii="仿宋_GB2312" w:hAnsi="仿宋_GB2312" w:cs="仿宋_GB2312"/>
                <w:b/>
                <w:bCs/>
                <w:color w:val="000000"/>
                <w:kern w:val="0"/>
                <w:sz w:val="28"/>
                <w:szCs w:val="28"/>
              </w:rPr>
            </w:pPr>
          </w:p>
        </w:tc>
        <w:tc>
          <w:tcPr>
            <w:tcW w:w="874" w:type="dxa"/>
            <w:vMerge w:val="continue"/>
            <w:vAlign w:val="center"/>
          </w:tcPr>
          <w:p>
            <w:pPr>
              <w:widowControl/>
              <w:spacing w:line="360" w:lineRule="exact"/>
              <w:jc w:val="left"/>
              <w:rPr>
                <w:rFonts w:ascii="仿宋_GB2312" w:hAnsi="仿宋_GB2312" w:cs="仿宋_GB2312"/>
                <w:b/>
                <w:bCs/>
                <w:color w:val="000000"/>
                <w:kern w:val="0"/>
                <w:sz w:val="28"/>
                <w:szCs w:val="28"/>
              </w:rPr>
            </w:pPr>
          </w:p>
        </w:tc>
        <w:tc>
          <w:tcPr>
            <w:tcW w:w="3588" w:type="dxa"/>
            <w:gridSpan w:val="2"/>
            <w:vMerge w:val="continue"/>
            <w:vAlign w:val="center"/>
          </w:tcPr>
          <w:p>
            <w:pPr>
              <w:widowControl/>
              <w:spacing w:line="360" w:lineRule="exact"/>
              <w:jc w:val="left"/>
              <w:rPr>
                <w:rFonts w:ascii="仿宋_GB2312" w:hAnsi="仿宋_GB2312" w:cs="仿宋_GB2312"/>
                <w:b/>
                <w:bCs/>
                <w:color w:val="000000"/>
                <w:kern w:val="0"/>
                <w:sz w:val="28"/>
                <w:szCs w:val="28"/>
              </w:rPr>
            </w:pPr>
          </w:p>
        </w:tc>
        <w:tc>
          <w:tcPr>
            <w:tcW w:w="1723" w:type="dxa"/>
            <w:vAlign w:val="center"/>
          </w:tcPr>
          <w:p>
            <w:pPr>
              <w:widowControl/>
              <w:spacing w:line="360" w:lineRule="exact"/>
              <w:jc w:val="center"/>
              <w:rPr>
                <w:rFonts w:ascii="仿宋_GB2312" w:hAnsi="仿宋_GB2312" w:cs="仿宋_GB2312"/>
                <w:b/>
                <w:bCs/>
                <w:color w:val="000000"/>
                <w:kern w:val="0"/>
                <w:sz w:val="28"/>
                <w:szCs w:val="28"/>
              </w:rPr>
            </w:pPr>
            <w:r>
              <w:rPr>
                <w:rFonts w:hint="eastAsia" w:ascii="仿宋_GB2312" w:hAnsi="仿宋_GB2312" w:cs="仿宋_GB2312"/>
                <w:b/>
                <w:bCs/>
                <w:color w:val="000000"/>
                <w:kern w:val="0"/>
                <w:sz w:val="28"/>
                <w:szCs w:val="28"/>
              </w:rPr>
              <w:t>已整改或完成阶段性整改</w:t>
            </w:r>
          </w:p>
        </w:tc>
        <w:tc>
          <w:tcPr>
            <w:tcW w:w="1290" w:type="dxa"/>
            <w:vAlign w:val="center"/>
          </w:tcPr>
          <w:p>
            <w:pPr>
              <w:widowControl/>
              <w:spacing w:line="360" w:lineRule="exact"/>
              <w:jc w:val="center"/>
              <w:rPr>
                <w:rFonts w:ascii="仿宋_GB2312" w:hAnsi="仿宋_GB2312" w:cs="仿宋_GB2312"/>
                <w:b/>
                <w:bCs/>
                <w:color w:val="000000"/>
                <w:kern w:val="0"/>
                <w:sz w:val="28"/>
                <w:szCs w:val="28"/>
              </w:rPr>
            </w:pPr>
            <w:r>
              <w:rPr>
                <w:rFonts w:hint="eastAsia" w:ascii="仿宋_GB2312" w:hAnsi="仿宋_GB2312" w:cs="仿宋_GB2312"/>
                <w:b/>
                <w:bCs/>
                <w:color w:val="000000"/>
                <w:kern w:val="0"/>
                <w:sz w:val="28"/>
                <w:szCs w:val="28"/>
              </w:rPr>
              <w:t>正在</w:t>
            </w:r>
          </w:p>
          <w:p>
            <w:pPr>
              <w:widowControl/>
              <w:spacing w:line="360" w:lineRule="exact"/>
              <w:jc w:val="center"/>
              <w:rPr>
                <w:rFonts w:ascii="仿宋_GB2312" w:hAnsi="仿宋_GB2312" w:cs="仿宋_GB2312"/>
                <w:b/>
                <w:bCs/>
                <w:color w:val="000000"/>
                <w:kern w:val="0"/>
                <w:sz w:val="28"/>
                <w:szCs w:val="28"/>
              </w:rPr>
            </w:pPr>
            <w:r>
              <w:rPr>
                <w:rFonts w:hint="eastAsia" w:ascii="仿宋_GB2312" w:hAnsi="仿宋_GB2312" w:cs="仿宋_GB2312"/>
                <w:b/>
                <w:bCs/>
                <w:color w:val="000000"/>
                <w:kern w:val="0"/>
                <w:sz w:val="28"/>
                <w:szCs w:val="28"/>
              </w:rPr>
              <w:t>整改</w:t>
            </w:r>
          </w:p>
        </w:tc>
        <w:tc>
          <w:tcPr>
            <w:tcW w:w="2226" w:type="dxa"/>
            <w:vMerge w:val="continue"/>
            <w:vAlign w:val="center"/>
          </w:tcPr>
          <w:p>
            <w:pPr>
              <w:widowControl/>
              <w:spacing w:line="360" w:lineRule="exact"/>
              <w:jc w:val="left"/>
              <w:rPr>
                <w:rFonts w:ascii="仿宋_GB2312" w:hAnsi="仿宋_GB2312" w:cs="仿宋_GB2312"/>
                <w:b/>
                <w:bCs/>
                <w:color w:val="000000"/>
                <w:kern w:val="0"/>
                <w:sz w:val="28"/>
                <w:szCs w:val="28"/>
              </w:rPr>
            </w:pPr>
          </w:p>
        </w:tc>
        <w:tc>
          <w:tcPr>
            <w:tcW w:w="4197" w:type="dxa"/>
            <w:vMerge w:val="continue"/>
            <w:vAlign w:val="center"/>
          </w:tcPr>
          <w:p>
            <w:pPr>
              <w:widowControl/>
              <w:spacing w:line="360" w:lineRule="exact"/>
              <w:jc w:val="left"/>
              <w:rPr>
                <w:rFonts w:ascii="仿宋_GB2312" w:hAnsi="仿宋_GB2312" w:cs="仿宋_GB2312"/>
                <w:b/>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3" w:hRule="atLeast"/>
          <w:jc w:val="center"/>
        </w:trPr>
        <w:tc>
          <w:tcPr>
            <w:tcW w:w="793" w:type="dxa"/>
            <w:vAlign w:val="center"/>
          </w:tcPr>
          <w:p>
            <w:pPr>
              <w:widowControl/>
              <w:spacing w:line="31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1</w:t>
            </w:r>
          </w:p>
        </w:tc>
        <w:tc>
          <w:tcPr>
            <w:tcW w:w="812" w:type="dxa"/>
            <w:vAlign w:val="center"/>
          </w:tcPr>
          <w:p>
            <w:pPr>
              <w:widowControl/>
              <w:spacing w:line="31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一、市本级全口径预算审计情况</w:t>
            </w:r>
          </w:p>
        </w:tc>
        <w:tc>
          <w:tcPr>
            <w:tcW w:w="886" w:type="dxa"/>
            <w:gridSpan w:val="2"/>
            <w:vAlign w:val="center"/>
          </w:tcPr>
          <w:p>
            <w:pPr>
              <w:widowControl/>
              <w:spacing w:line="31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（一）一般公共预算执行情况</w:t>
            </w:r>
          </w:p>
        </w:tc>
        <w:tc>
          <w:tcPr>
            <w:tcW w:w="880" w:type="dxa"/>
            <w:vAlign w:val="center"/>
          </w:tcPr>
          <w:p>
            <w:pPr>
              <w:widowControl/>
              <w:spacing w:line="310" w:lineRule="exac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部分非税收入和结余资金未及时收缴统筹</w:t>
            </w:r>
          </w:p>
        </w:tc>
        <w:tc>
          <w:tcPr>
            <w:tcW w:w="2708" w:type="dxa"/>
            <w:vAlign w:val="center"/>
          </w:tcPr>
          <w:p>
            <w:pPr>
              <w:widowControl/>
              <w:spacing w:line="310" w:lineRule="exac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二是部分单位未及时收缴非税收入。7个单位未及时收缴物业租金、交易服务费、检验检测费等，涉及金额9,842.7万元。</w:t>
            </w:r>
          </w:p>
        </w:tc>
        <w:tc>
          <w:tcPr>
            <w:tcW w:w="1723" w:type="dxa"/>
            <w:vAlign w:val="center"/>
          </w:tcPr>
          <w:p>
            <w:pPr>
              <w:widowControl/>
              <w:spacing w:line="31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市委外办，市司法局、财政局、交通运输局、市场监管局</w:t>
            </w:r>
          </w:p>
        </w:tc>
        <w:tc>
          <w:tcPr>
            <w:tcW w:w="1290" w:type="dxa"/>
            <w:vAlign w:val="center"/>
          </w:tcPr>
          <w:p>
            <w:pPr>
              <w:widowControl/>
              <w:spacing w:line="31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市人力资源保障局、住房建设局、麒麟山疗养院</w:t>
            </w:r>
          </w:p>
        </w:tc>
        <w:tc>
          <w:tcPr>
            <w:tcW w:w="2226" w:type="dxa"/>
            <w:vAlign w:val="center"/>
          </w:tcPr>
          <w:p>
            <w:pPr>
              <w:widowControl/>
              <w:spacing w:line="310" w:lineRule="exac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市财政局要督促各单位及时上缴结余资金、收缴非税收入。</w:t>
            </w:r>
          </w:p>
        </w:tc>
        <w:tc>
          <w:tcPr>
            <w:tcW w:w="4197" w:type="dxa"/>
            <w:vAlign w:val="center"/>
          </w:tcPr>
          <w:p>
            <w:pPr>
              <w:widowControl/>
              <w:spacing w:line="310" w:lineRule="exac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各相关责任单位主要采取以下整改措施：对未及时收缴的物业租金、交易服务费等非税收入9842.70万元，采取发出缴款通知书催收、申请法院强制执行、依规作废等方式整改，涉及资金4035.46万元，剩余款项存在缴款人无法联系、涉及法律诉讼等情况，将分别形成具体方案妥善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jc w:val="center"/>
        </w:trPr>
        <w:tc>
          <w:tcPr>
            <w:tcW w:w="793" w:type="dxa"/>
            <w:vAlign w:val="center"/>
          </w:tcPr>
          <w:p>
            <w:pPr>
              <w:widowControl/>
              <w:spacing w:line="33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2</w:t>
            </w:r>
          </w:p>
        </w:tc>
        <w:tc>
          <w:tcPr>
            <w:tcW w:w="812" w:type="dxa"/>
            <w:vAlign w:val="center"/>
          </w:tcPr>
          <w:p>
            <w:pPr>
              <w:widowControl/>
              <w:spacing w:line="33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一、市本级全口径预算审计情况</w:t>
            </w:r>
          </w:p>
        </w:tc>
        <w:tc>
          <w:tcPr>
            <w:tcW w:w="886" w:type="dxa"/>
            <w:gridSpan w:val="2"/>
            <w:vAlign w:val="center"/>
          </w:tcPr>
          <w:p>
            <w:pPr>
              <w:widowControl/>
              <w:spacing w:line="330" w:lineRule="exac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（二）政府性基金预算执行情况</w:t>
            </w:r>
          </w:p>
        </w:tc>
        <w:tc>
          <w:tcPr>
            <w:tcW w:w="880" w:type="dxa"/>
            <w:vAlign w:val="center"/>
          </w:tcPr>
          <w:p>
            <w:pPr>
              <w:widowControl/>
              <w:spacing w:line="330" w:lineRule="exac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个别土地出让收支管理不到位</w:t>
            </w:r>
          </w:p>
        </w:tc>
        <w:tc>
          <w:tcPr>
            <w:tcW w:w="2708" w:type="dxa"/>
            <w:vAlign w:val="center"/>
          </w:tcPr>
          <w:p>
            <w:pPr>
              <w:widowControl/>
              <w:spacing w:line="330" w:lineRule="exac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一是未及时收缴国有土地出让收入。1个城市更新项目出让合同约定2021年1月前缴清地价款，但截至2021年3月底仍欠缴25.49亿元。</w:t>
            </w:r>
          </w:p>
        </w:tc>
        <w:tc>
          <w:tcPr>
            <w:tcW w:w="1723" w:type="dxa"/>
            <w:vAlign w:val="center"/>
          </w:tcPr>
          <w:p>
            <w:pPr>
              <w:widowControl/>
              <w:spacing w:line="33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无</w:t>
            </w:r>
          </w:p>
        </w:tc>
        <w:tc>
          <w:tcPr>
            <w:tcW w:w="1290" w:type="dxa"/>
            <w:vAlign w:val="center"/>
          </w:tcPr>
          <w:p>
            <w:pPr>
              <w:widowControl/>
              <w:spacing w:line="33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龙华区政府</w:t>
            </w:r>
          </w:p>
        </w:tc>
        <w:tc>
          <w:tcPr>
            <w:tcW w:w="2226" w:type="dxa"/>
            <w:vAlign w:val="center"/>
          </w:tcPr>
          <w:p>
            <w:pPr>
              <w:widowControl/>
              <w:spacing w:line="330" w:lineRule="exac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龙华区政府要按规定及出让合同约定条款，确保土地出让收入及时足额缴入国库。</w:t>
            </w:r>
          </w:p>
        </w:tc>
        <w:tc>
          <w:tcPr>
            <w:tcW w:w="4197" w:type="dxa"/>
            <w:vAlign w:val="center"/>
          </w:tcPr>
          <w:p>
            <w:pPr>
              <w:widowControl/>
              <w:spacing w:line="330" w:lineRule="exact"/>
              <w:jc w:val="lef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龙华区政府已采取约谈、发函等方式催缴地价款，因项目实施主体存在经营困难，目前仍处于催缴阶段。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793" w:type="dxa"/>
            <w:vAlign w:val="center"/>
          </w:tcPr>
          <w:p>
            <w:pPr>
              <w:widowControl/>
              <w:spacing w:line="36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3</w:t>
            </w:r>
          </w:p>
        </w:tc>
        <w:tc>
          <w:tcPr>
            <w:tcW w:w="812" w:type="dxa"/>
            <w:vAlign w:val="center"/>
          </w:tcPr>
          <w:p>
            <w:pPr>
              <w:widowControl/>
              <w:spacing w:line="36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一、市本级全口径预算审计情况</w:t>
            </w:r>
          </w:p>
        </w:tc>
        <w:tc>
          <w:tcPr>
            <w:tcW w:w="886" w:type="dxa"/>
            <w:gridSpan w:val="2"/>
            <w:vAlign w:val="center"/>
          </w:tcPr>
          <w:p>
            <w:pPr>
              <w:widowControl/>
              <w:spacing w:line="360" w:lineRule="exac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（二）政府性基金预算执行情况</w:t>
            </w:r>
          </w:p>
        </w:tc>
        <w:tc>
          <w:tcPr>
            <w:tcW w:w="880" w:type="dxa"/>
            <w:vAlign w:val="center"/>
          </w:tcPr>
          <w:p>
            <w:pPr>
              <w:widowControl/>
              <w:spacing w:line="360" w:lineRule="exac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个别土地出让收支管理不到位</w:t>
            </w:r>
          </w:p>
        </w:tc>
        <w:tc>
          <w:tcPr>
            <w:tcW w:w="2708" w:type="dxa"/>
            <w:vAlign w:val="center"/>
          </w:tcPr>
          <w:p>
            <w:pPr>
              <w:widowControl/>
              <w:spacing w:line="360" w:lineRule="exac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二是个别支出项目进度滞后。规划部门有29个国土基金专项经费支出项目到期未完成，涉及金额4,438.27万元；有23个国土基金结转项目2020年未发生支出，涉及金额1,369.53万元。</w:t>
            </w:r>
          </w:p>
        </w:tc>
        <w:tc>
          <w:tcPr>
            <w:tcW w:w="1723" w:type="dxa"/>
            <w:vAlign w:val="center"/>
          </w:tcPr>
          <w:p>
            <w:pPr>
              <w:widowControl/>
              <w:spacing w:line="36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无</w:t>
            </w:r>
          </w:p>
        </w:tc>
        <w:tc>
          <w:tcPr>
            <w:tcW w:w="1290" w:type="dxa"/>
            <w:vAlign w:val="center"/>
          </w:tcPr>
          <w:p>
            <w:pPr>
              <w:widowControl/>
              <w:spacing w:line="36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市规划和自然资源局</w:t>
            </w:r>
          </w:p>
        </w:tc>
        <w:tc>
          <w:tcPr>
            <w:tcW w:w="2226" w:type="dxa"/>
            <w:vAlign w:val="center"/>
          </w:tcPr>
          <w:p>
            <w:pPr>
              <w:widowControl/>
              <w:spacing w:line="360" w:lineRule="exac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市规划和自然资源局要加强国土基金专项经费管理，充分论证项目立项的必要性、可行性，采取积极措施保障支出进度。</w:t>
            </w:r>
          </w:p>
        </w:tc>
        <w:tc>
          <w:tcPr>
            <w:tcW w:w="4197" w:type="dxa"/>
            <w:vAlign w:val="center"/>
          </w:tcPr>
          <w:p>
            <w:pPr>
              <w:widowControl/>
              <w:spacing w:line="360" w:lineRule="exact"/>
              <w:jc w:val="lef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市规划和自然资源局逐项梳理涉及项目，对不再开展的项目，按程序取消或签订终止协议；对需要开展的项目，督促实施主体加快项目支出进度；对存在资金缺口的项目，按权限调剂或申报资金。截至2021年11月底，审计指出到期未完成支出的29个项目，完成支出17个；2020年未发生支出的23个结转项目，完成支出11个。剩余项目待资金到位或达到支付节点后加快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3" w:hRule="atLeast"/>
          <w:jc w:val="center"/>
        </w:trPr>
        <w:tc>
          <w:tcPr>
            <w:tcW w:w="793" w:type="dxa"/>
            <w:vAlign w:val="center"/>
          </w:tcPr>
          <w:p>
            <w:pPr>
              <w:widowControl/>
              <w:spacing w:line="36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4</w:t>
            </w:r>
          </w:p>
        </w:tc>
        <w:tc>
          <w:tcPr>
            <w:tcW w:w="812" w:type="dxa"/>
            <w:vAlign w:val="center"/>
          </w:tcPr>
          <w:p>
            <w:pPr>
              <w:widowControl/>
              <w:spacing w:line="36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二、部门预算执行审计情况</w:t>
            </w:r>
          </w:p>
        </w:tc>
        <w:tc>
          <w:tcPr>
            <w:tcW w:w="886" w:type="dxa"/>
            <w:gridSpan w:val="2"/>
            <w:vAlign w:val="center"/>
          </w:tcPr>
          <w:p>
            <w:pPr>
              <w:widowControl/>
              <w:spacing w:line="36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（二）部分单位资产管理仍有短板</w:t>
            </w:r>
          </w:p>
        </w:tc>
        <w:tc>
          <w:tcPr>
            <w:tcW w:w="880" w:type="dxa"/>
            <w:vAlign w:val="center"/>
          </w:tcPr>
          <w:p>
            <w:pPr>
              <w:widowControl/>
              <w:spacing w:line="360" w:lineRule="exac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公开招租程序不规范</w:t>
            </w:r>
          </w:p>
        </w:tc>
        <w:tc>
          <w:tcPr>
            <w:tcW w:w="2708" w:type="dxa"/>
            <w:vAlign w:val="center"/>
          </w:tcPr>
          <w:p>
            <w:pPr>
              <w:widowControl/>
              <w:spacing w:line="360" w:lineRule="exac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3个单位未通过公开招租程序，或未考察直接确定租赁方，也未将出租事项报财政部门审批，涉及11处物业，账面原值均超过30万元。</w:t>
            </w:r>
          </w:p>
        </w:tc>
        <w:tc>
          <w:tcPr>
            <w:tcW w:w="1723" w:type="dxa"/>
            <w:vAlign w:val="center"/>
          </w:tcPr>
          <w:p>
            <w:pPr>
              <w:widowControl/>
              <w:spacing w:line="36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市委政法委、市人力资源保障局</w:t>
            </w:r>
          </w:p>
        </w:tc>
        <w:tc>
          <w:tcPr>
            <w:tcW w:w="1290" w:type="dxa"/>
            <w:vAlign w:val="center"/>
          </w:tcPr>
          <w:p>
            <w:pPr>
              <w:widowControl/>
              <w:spacing w:line="36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市司法局</w:t>
            </w:r>
          </w:p>
        </w:tc>
        <w:tc>
          <w:tcPr>
            <w:tcW w:w="2226" w:type="dxa"/>
            <w:vAlign w:val="center"/>
          </w:tcPr>
          <w:p>
            <w:pPr>
              <w:widowControl/>
              <w:spacing w:line="360" w:lineRule="exac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市委政法委和市人力资源保障局、司法局要严格履行公开招租程序，按要求报财政部门审批出租事项。</w:t>
            </w:r>
          </w:p>
        </w:tc>
        <w:tc>
          <w:tcPr>
            <w:tcW w:w="4197" w:type="dxa"/>
            <w:vAlign w:val="center"/>
          </w:tcPr>
          <w:p>
            <w:pPr>
              <w:widowControl/>
              <w:spacing w:line="360" w:lineRule="exact"/>
              <w:jc w:val="lef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各相关责任单位主要采取以下整改措施：对现有物业情况进行盘查，规范物业招租程序。审计指出的11处物业，5处已收回并移交相关主管部门；3处已委托相关单位公开招租；2处已报市财政局备案；1处正在办理公开招租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0" w:hRule="atLeast"/>
          <w:jc w:val="center"/>
        </w:trPr>
        <w:tc>
          <w:tcPr>
            <w:tcW w:w="793" w:type="dxa"/>
            <w:vAlign w:val="center"/>
          </w:tcPr>
          <w:p>
            <w:pPr>
              <w:widowControl/>
              <w:spacing w:line="36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5</w:t>
            </w:r>
          </w:p>
        </w:tc>
        <w:tc>
          <w:tcPr>
            <w:tcW w:w="812" w:type="dxa"/>
            <w:vAlign w:val="center"/>
          </w:tcPr>
          <w:p>
            <w:pPr>
              <w:widowControl/>
              <w:spacing w:line="36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四、重大政策措施落实跟踪审计情况</w:t>
            </w:r>
          </w:p>
        </w:tc>
        <w:tc>
          <w:tcPr>
            <w:tcW w:w="886" w:type="dxa"/>
            <w:gridSpan w:val="2"/>
            <w:vAlign w:val="center"/>
          </w:tcPr>
          <w:p>
            <w:pPr>
              <w:widowControl/>
              <w:spacing w:line="36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（一）推进国际一流营商环境改革创新实验区建设政策落实方面</w:t>
            </w:r>
          </w:p>
        </w:tc>
        <w:tc>
          <w:tcPr>
            <w:tcW w:w="880" w:type="dxa"/>
            <w:vAlign w:val="center"/>
          </w:tcPr>
          <w:p>
            <w:pPr>
              <w:widowControl/>
              <w:spacing w:line="360" w:lineRule="exac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部分政务服务系统便民化程度不高</w:t>
            </w:r>
          </w:p>
        </w:tc>
        <w:tc>
          <w:tcPr>
            <w:tcW w:w="2708" w:type="dxa"/>
            <w:vAlign w:val="center"/>
          </w:tcPr>
          <w:p>
            <w:pPr>
              <w:widowControl/>
              <w:spacing w:line="360" w:lineRule="exac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商事登记系统的企业注册经营范围表述与国家规范性表述存在较大差异，市监部门也未出台填报指引和数字证书操作指引。住建部门未明确复合型工程建设项目的申报流程，导致在投资项目在线审批监管平台，无法协同办理多工程类别的事项。</w:t>
            </w:r>
          </w:p>
        </w:tc>
        <w:tc>
          <w:tcPr>
            <w:tcW w:w="1723" w:type="dxa"/>
            <w:vAlign w:val="center"/>
          </w:tcPr>
          <w:p>
            <w:pPr>
              <w:widowControl/>
              <w:spacing w:line="36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市市场监管局</w:t>
            </w:r>
          </w:p>
        </w:tc>
        <w:tc>
          <w:tcPr>
            <w:tcW w:w="1290" w:type="dxa"/>
            <w:vAlign w:val="center"/>
          </w:tcPr>
          <w:p>
            <w:pPr>
              <w:widowControl/>
              <w:spacing w:line="36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市住房建设局</w:t>
            </w:r>
          </w:p>
        </w:tc>
        <w:tc>
          <w:tcPr>
            <w:tcW w:w="2226" w:type="dxa"/>
            <w:vAlign w:val="center"/>
          </w:tcPr>
          <w:p>
            <w:pPr>
              <w:widowControl/>
              <w:spacing w:line="360" w:lineRule="exac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市市场监管局要加强完善商事登记系统填报指引。市住房建设局要商请市发展改革委、政务服务数据管理局等有关部门研究提出提高建设单位报建报批效率的措施。</w:t>
            </w:r>
          </w:p>
        </w:tc>
        <w:tc>
          <w:tcPr>
            <w:tcW w:w="4197" w:type="dxa"/>
            <w:vAlign w:val="center"/>
          </w:tcPr>
          <w:p>
            <w:pPr>
              <w:widowControl/>
              <w:spacing w:line="360" w:lineRule="exact"/>
              <w:jc w:val="lef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各相关责任单位主要采取以下整改措施：一是规范经营范围登记。市市场监管局已于2021年5月21日正式使用市场监管总局统一制定的经营范围规范表述目录。二是公开系统操作指引。市市场监管局已在相关网站公示经营范围填报指引和数字证书操作指引。三是研究提高项目报建报批效率。市住房建设局已会同相关部门制定相关整改评估方案，通过调整11类工程建设项目审批事项的逻辑关系，实现其在投资项目在线审批监管平台的交叉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0" w:hRule="atLeast"/>
          <w:jc w:val="center"/>
        </w:trPr>
        <w:tc>
          <w:tcPr>
            <w:tcW w:w="793" w:type="dxa"/>
            <w:vAlign w:val="center"/>
          </w:tcPr>
          <w:p>
            <w:pPr>
              <w:widowControl/>
              <w:spacing w:line="36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6</w:t>
            </w:r>
          </w:p>
        </w:tc>
        <w:tc>
          <w:tcPr>
            <w:tcW w:w="812" w:type="dxa"/>
            <w:vAlign w:val="center"/>
          </w:tcPr>
          <w:p>
            <w:pPr>
              <w:widowControl/>
              <w:spacing w:line="36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五、重大专项审计情况</w:t>
            </w:r>
          </w:p>
        </w:tc>
        <w:tc>
          <w:tcPr>
            <w:tcW w:w="886" w:type="dxa"/>
            <w:gridSpan w:val="2"/>
            <w:vAlign w:val="center"/>
          </w:tcPr>
          <w:p>
            <w:pPr>
              <w:widowControl/>
              <w:spacing w:line="36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（一）三大攻坚战推进落实情况</w:t>
            </w:r>
          </w:p>
        </w:tc>
        <w:tc>
          <w:tcPr>
            <w:tcW w:w="880" w:type="dxa"/>
            <w:vAlign w:val="center"/>
          </w:tcPr>
          <w:p>
            <w:pPr>
              <w:widowControl/>
              <w:spacing w:line="36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打好防范化解重大风险攻坚战方面</w:t>
            </w:r>
          </w:p>
        </w:tc>
        <w:tc>
          <w:tcPr>
            <w:tcW w:w="2708" w:type="dxa"/>
            <w:vAlign w:val="center"/>
          </w:tcPr>
          <w:p>
            <w:pPr>
              <w:widowControl/>
              <w:spacing w:line="360" w:lineRule="exact"/>
              <w:rPr>
                <w:rFonts w:ascii="仿宋_GB2312" w:hAnsi="仿宋_GB2312" w:cs="仿宋_GB2312"/>
                <w:kern w:val="0"/>
                <w:sz w:val="24"/>
                <w:szCs w:val="24"/>
              </w:rPr>
            </w:pPr>
            <w:r>
              <w:rPr>
                <w:rFonts w:hint="eastAsia" w:ascii="仿宋_GB2312" w:hAnsi="仿宋_GB2312" w:cs="仿宋_GB2312"/>
                <w:kern w:val="0"/>
                <w:sz w:val="24"/>
                <w:szCs w:val="24"/>
              </w:rPr>
              <w:t>一是金融风险防控措施执行存在短板。3家企业超限额、超范围或违规跨省域发放贷款，涉及金额2.05亿元。1家企业未经批准开展15笔贴现业务，涉及金额693.66万元。1家企业融资3.9亿元来源不合规，1家企业向欠税企业提供贷款担保2,600万元，1家企业使用自有资金6.26亿元承接销售金融产品的损失风险。</w:t>
            </w:r>
          </w:p>
        </w:tc>
        <w:tc>
          <w:tcPr>
            <w:tcW w:w="1723" w:type="dxa"/>
            <w:vAlign w:val="center"/>
          </w:tcPr>
          <w:p>
            <w:pPr>
              <w:widowControl/>
              <w:spacing w:line="360" w:lineRule="exact"/>
              <w:jc w:val="center"/>
              <w:rPr>
                <w:rFonts w:ascii="仿宋_GB2312" w:hAnsi="仿宋_GB2312" w:cs="仿宋_GB2312"/>
                <w:kern w:val="0"/>
                <w:sz w:val="24"/>
                <w:szCs w:val="24"/>
              </w:rPr>
            </w:pPr>
            <w:r>
              <w:rPr>
                <w:rFonts w:hint="eastAsia" w:ascii="仿宋_GB2312" w:hAnsi="仿宋_GB2312" w:cs="仿宋_GB2312"/>
                <w:kern w:val="0"/>
                <w:sz w:val="24"/>
                <w:szCs w:val="24"/>
              </w:rPr>
              <w:t>特发集团、赛格集团、国信证券</w:t>
            </w:r>
          </w:p>
        </w:tc>
        <w:tc>
          <w:tcPr>
            <w:tcW w:w="1290" w:type="dxa"/>
            <w:vAlign w:val="center"/>
          </w:tcPr>
          <w:p>
            <w:pPr>
              <w:widowControl/>
              <w:spacing w:line="36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担保集团</w:t>
            </w:r>
          </w:p>
        </w:tc>
        <w:tc>
          <w:tcPr>
            <w:tcW w:w="2226" w:type="dxa"/>
            <w:vAlign w:val="center"/>
          </w:tcPr>
          <w:p>
            <w:pPr>
              <w:widowControl/>
              <w:spacing w:line="36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各相关金融企业要严格执行监管要求，按照设立目标、许可经营范围和有关规定开展业务，合法合规融资，加强业务管理，在保证项目安全规范的基础上加快股权纾困进度。</w:t>
            </w:r>
          </w:p>
        </w:tc>
        <w:tc>
          <w:tcPr>
            <w:tcW w:w="4197" w:type="dxa"/>
            <w:vAlign w:val="center"/>
          </w:tcPr>
          <w:p>
            <w:pPr>
              <w:widowControl/>
              <w:spacing w:line="360" w:lineRule="exact"/>
              <w:jc w:val="lef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各相关责任单位主要采取以下整改措施：一是追回风险资金，进行追责问责。担保集团已收回违规跨省域发放的贷款6000万元，剩余1300万元正在积极推进中；赛格集团下属公司已归还全部来源不合规的融资款3.9亿元；特发集团对下属公司超限额发放贷款行为给予2名责任人党纪处分。二是加强金融风险防控，规范业务管理。特发集团已禁止下属公司开展票据贴现类业务；担保集团实现在放款审查阶段自动查询项目公开不良信息，加强对重大诉讼信息和关键信息的审查。国信证券优化运营平台风险提醒功能，完善对管理人及其托管产品的风险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jc w:val="center"/>
        </w:trPr>
        <w:tc>
          <w:tcPr>
            <w:tcW w:w="793" w:type="dxa"/>
            <w:vAlign w:val="center"/>
          </w:tcPr>
          <w:p>
            <w:pPr>
              <w:widowControl/>
              <w:spacing w:line="30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7</w:t>
            </w:r>
          </w:p>
        </w:tc>
        <w:tc>
          <w:tcPr>
            <w:tcW w:w="812" w:type="dxa"/>
            <w:vAlign w:val="center"/>
          </w:tcPr>
          <w:p>
            <w:pPr>
              <w:widowControl/>
              <w:spacing w:line="30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五、重大专项审计情况</w:t>
            </w:r>
          </w:p>
        </w:tc>
        <w:tc>
          <w:tcPr>
            <w:tcW w:w="886" w:type="dxa"/>
            <w:gridSpan w:val="2"/>
            <w:vAlign w:val="center"/>
          </w:tcPr>
          <w:p>
            <w:pPr>
              <w:widowControl/>
              <w:spacing w:line="30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（二）专项资金管理使用情况</w:t>
            </w:r>
          </w:p>
        </w:tc>
        <w:tc>
          <w:tcPr>
            <w:tcW w:w="880" w:type="dxa"/>
            <w:vAlign w:val="center"/>
          </w:tcPr>
          <w:p>
            <w:pPr>
              <w:widowControl/>
              <w:spacing w:line="300" w:lineRule="exac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未及时收缴个别投资资金及收益</w:t>
            </w:r>
          </w:p>
        </w:tc>
        <w:tc>
          <w:tcPr>
            <w:tcW w:w="2708" w:type="dxa"/>
            <w:vAlign w:val="center"/>
          </w:tcPr>
          <w:p>
            <w:pPr>
              <w:widowControl/>
              <w:spacing w:line="300" w:lineRule="exac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股权投资资金主要用于扶持科技创新型中小企业成长，项目验收通过后按约定获取固定收益及退出股权。3个主管部门未及时跟进资金上缴，导致退出资金及投资收益滚存于委托机构，涉及项目29个、金额2.62亿元。</w:t>
            </w:r>
          </w:p>
        </w:tc>
        <w:tc>
          <w:tcPr>
            <w:tcW w:w="1723" w:type="dxa"/>
            <w:vAlign w:val="center"/>
          </w:tcPr>
          <w:p>
            <w:pPr>
              <w:widowControl/>
              <w:spacing w:line="30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市委军民融合办</w:t>
            </w:r>
          </w:p>
        </w:tc>
        <w:tc>
          <w:tcPr>
            <w:tcW w:w="1290" w:type="dxa"/>
            <w:vAlign w:val="center"/>
          </w:tcPr>
          <w:p>
            <w:pPr>
              <w:widowControl/>
              <w:spacing w:line="30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市发展改革委、工业和信息化局</w:t>
            </w:r>
          </w:p>
        </w:tc>
        <w:tc>
          <w:tcPr>
            <w:tcW w:w="2226" w:type="dxa"/>
            <w:vAlign w:val="center"/>
          </w:tcPr>
          <w:p>
            <w:pPr>
              <w:widowControl/>
              <w:spacing w:line="300" w:lineRule="exac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市委军民融合办以及市发展改革委、工业和信息化局要及时跟进项目进度并回收财政资金，指导督促委托机构按约定清理未落实投资款项、股权退出款项、投资收益等，及时上缴财政。</w:t>
            </w:r>
          </w:p>
        </w:tc>
        <w:tc>
          <w:tcPr>
            <w:tcW w:w="4197" w:type="dxa"/>
            <w:vAlign w:val="center"/>
          </w:tcPr>
          <w:p>
            <w:pPr>
              <w:widowControl/>
              <w:spacing w:line="300" w:lineRule="exact"/>
              <w:jc w:val="lef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各相关责任单位落实资金主管部门职责，共同研究资金回缴最优路径，积极协调相关公司明确解决方案，指导督促其做好项目分期退出和资金清理回缴。截至2021年11月底，相关公司已将15个完全退出项目的本金、收益和孳息合计16,179.50万元上缴财政，剩余部分退出项目的资金将按退出进度逐步收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6" w:hRule="atLeast"/>
          <w:jc w:val="center"/>
        </w:trPr>
        <w:tc>
          <w:tcPr>
            <w:tcW w:w="793" w:type="dxa"/>
            <w:vAlign w:val="center"/>
          </w:tcPr>
          <w:p>
            <w:pPr>
              <w:widowControl/>
              <w:spacing w:line="30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8</w:t>
            </w:r>
          </w:p>
        </w:tc>
        <w:tc>
          <w:tcPr>
            <w:tcW w:w="812" w:type="dxa"/>
            <w:vAlign w:val="center"/>
          </w:tcPr>
          <w:p>
            <w:pPr>
              <w:widowControl/>
              <w:spacing w:line="30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七、政府投资项目审计情况</w:t>
            </w:r>
          </w:p>
        </w:tc>
        <w:tc>
          <w:tcPr>
            <w:tcW w:w="886" w:type="dxa"/>
            <w:gridSpan w:val="2"/>
            <w:vAlign w:val="center"/>
          </w:tcPr>
          <w:p>
            <w:pPr>
              <w:widowControl/>
              <w:spacing w:line="30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（一）部分应急工程与建设目标存在一定差距</w:t>
            </w:r>
          </w:p>
        </w:tc>
        <w:tc>
          <w:tcPr>
            <w:tcW w:w="880" w:type="dxa"/>
            <w:vAlign w:val="center"/>
          </w:tcPr>
          <w:p>
            <w:pPr>
              <w:widowControl/>
              <w:spacing w:line="300" w:lineRule="exac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部分应急工程与建设目标存在一定差距</w:t>
            </w:r>
          </w:p>
        </w:tc>
        <w:tc>
          <w:tcPr>
            <w:tcW w:w="2708" w:type="dxa"/>
            <w:vAlign w:val="center"/>
          </w:tcPr>
          <w:p>
            <w:pPr>
              <w:widowControl/>
              <w:spacing w:line="300" w:lineRule="exac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由于前期工作不扎实、承包单位履约能力不足等，审计抽查的29个工程中，8个工程在认定为应急工程后3个月内未开工；仅有5个按照目标进度完成建设，占比17.24%。</w:t>
            </w:r>
          </w:p>
        </w:tc>
        <w:tc>
          <w:tcPr>
            <w:tcW w:w="1723" w:type="dxa"/>
            <w:vAlign w:val="center"/>
          </w:tcPr>
          <w:p>
            <w:pPr>
              <w:widowControl/>
              <w:spacing w:line="30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市规划和自然资源局、水务局、城管和综合执法局</w:t>
            </w:r>
          </w:p>
        </w:tc>
        <w:tc>
          <w:tcPr>
            <w:tcW w:w="1290" w:type="dxa"/>
            <w:vAlign w:val="center"/>
          </w:tcPr>
          <w:p>
            <w:pPr>
              <w:widowControl/>
              <w:spacing w:line="300" w:lineRule="exact"/>
              <w:jc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市卫生健康委、政务服务数据管理局、建筑工务署</w:t>
            </w:r>
          </w:p>
        </w:tc>
        <w:tc>
          <w:tcPr>
            <w:tcW w:w="2226" w:type="dxa"/>
            <w:vAlign w:val="center"/>
          </w:tcPr>
          <w:p>
            <w:pPr>
              <w:widowControl/>
              <w:spacing w:line="300" w:lineRule="exac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市规划和自然资源局、水务局、卫生健康委、城管和综合执法局、政务服务数据管理局、建筑工务署等建设单位要落实主体责任，扎实开展前期工作，加强与相关部门的沟通协调，做好对承包单位合同履约评价，采取有效举措推进应急工程项目建设。</w:t>
            </w:r>
          </w:p>
        </w:tc>
        <w:tc>
          <w:tcPr>
            <w:tcW w:w="4197" w:type="dxa"/>
            <w:vAlign w:val="center"/>
          </w:tcPr>
          <w:p>
            <w:pPr>
              <w:widowControl/>
              <w:spacing w:line="300" w:lineRule="exact"/>
              <w:jc w:val="lef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各相关责任单位落实主体责任，采取召开工作会议、压缩工作周期、合理调配资源、现场检查指导等举措推进应急工程项目建设。审计指出8个未及时开工的应急工程项目，5个已完工，1个已开工，2个已获得概算批复；审计指出24个未达到预定目标的应急工程项目，11个已完工或通过验收，4个项目主体已基本完成，2个项目已取消实施或申请终止，7个项目已按照设定目标有序推进中。各相关责任单位将严格控制特殊工程认定申请，加强前期沟通协调，确保应急工程如期开工建设。</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FA12FC"/>
    <w:rsid w:val="10FA1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2021-12-28T02:48:00Z</dcterms:created>
  <dc:creator>Administrator</dc:creator>
  <cp:lastModifiedBy>Administrator</cp:lastModifiedBy>
  <dcterms:modified xsi:type="dcterms:W3CDTF">2021-12-28T02:49:23Z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C753A2B6DF2E4683B9F029C1B856653F</vt:lpwstr>
  </property>
</Properties>
</file>