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附件2</w:t>
      </w:r>
    </w:p>
    <w:p>
      <w:pPr>
        <w:spacing w:line="0" w:lineRule="atLeast"/>
        <w:jc w:val="center"/>
        <w:rPr>
          <w:rFonts w:hint="eastAsia" w:ascii="宋体" w:hAnsi="宋体"/>
          <w:sz w:val="36"/>
          <w:szCs w:val="36"/>
        </w:rPr>
      </w:pPr>
      <w:bookmarkStart w:id="0" w:name="_GoBack"/>
      <w:r>
        <w:rPr>
          <w:rFonts w:hint="eastAsia" w:ascii="宋体" w:hAnsi="宋体"/>
          <w:sz w:val="36"/>
          <w:szCs w:val="36"/>
        </w:rPr>
        <w:t>失效的规范性文件目录</w:t>
      </w:r>
    </w:p>
    <w:bookmarkEnd w:id="0"/>
    <w:p>
      <w:pPr>
        <w:spacing w:before="120" w:beforeLines="50"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1．深圳市从事数据库服务网络服务经营业务审批办法（试行）（深统信通〔1997〕16号）；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2．深圳市数据库和网络服务资质证书管理办法（深信委通〔1999〕24号）；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3．深圳市信息系统开发单位资质管理办法（深信委办通〔2000〕29号）；</w:t>
      </w:r>
    </w:p>
    <w:p>
      <w:pPr>
        <w:spacing w:line="384" w:lineRule="atLeast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4．市经贸信息委关于印发《深圳市信息基础设施建设专项经费操作规程》的通知（深经贸信息信安字〔2016〕161号）。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20A46"/>
    <w:rsid w:val="70A2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2019-11-18T09:22:00Z</dcterms:created>
  <dc:creator>-Jus</dc:creator>
  <cp:lastModifiedBy>-Jus</cp:lastModifiedBy>
  <dcterms:modified xsi:type="dcterms:W3CDTF">2019-11-18T09:22:26Z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