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ascii="宋体" w:hAnsi="宋体"/>
          <w:sz w:val="24"/>
          <w:szCs w:val="24"/>
          <w:shd w:val="clear" w:color="auto" w:fill="FFFFFF"/>
        </w:rPr>
      </w:pPr>
      <w:r>
        <w:rPr>
          <w:rFonts w:hint="eastAsia" w:ascii="宋体" w:hAnsi="宋体" w:cs="黑体"/>
          <w:sz w:val="24"/>
          <w:szCs w:val="24"/>
          <w:shd w:val="clear" w:color="auto" w:fill="FFFFFF"/>
        </w:rPr>
        <w:t>附表</w:t>
      </w:r>
    </w:p>
    <w:p>
      <w:pPr>
        <w:spacing w:after="120" w:afterLines="50" w:line="0" w:lineRule="atLeast"/>
        <w:jc w:val="center"/>
        <w:rPr>
          <w:rFonts w:ascii="宋体" w:hAnsi="宋体"/>
          <w:bCs/>
          <w:sz w:val="36"/>
          <w:szCs w:val="36"/>
        </w:rPr>
      </w:pPr>
      <w:bookmarkStart w:id="0" w:name="_GoBack"/>
      <w:r>
        <w:rPr>
          <w:rFonts w:hint="eastAsia" w:ascii="宋体" w:hAnsi="宋体"/>
          <w:bCs/>
          <w:sz w:val="36"/>
          <w:szCs w:val="36"/>
        </w:rPr>
        <w:t>黄色警示情形一览表</w:t>
      </w:r>
    </w:p>
    <w:bookmarkEnd w:id="0"/>
    <w:tbl>
      <w:tblPr>
        <w:tblStyle w:val="3"/>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56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ind w:left="-42" w:leftChars="-20" w:right="-42" w:rightChars="-20"/>
              <w:jc w:val="center"/>
              <w:rPr>
                <w:rFonts w:hint="eastAsia" w:ascii="黑体" w:hAnsi="宋体" w:eastAsia="黑体" w:cs="黑体"/>
                <w:spacing w:val="-4"/>
                <w:szCs w:val="21"/>
              </w:rPr>
            </w:pPr>
            <w:r>
              <w:rPr>
                <w:rFonts w:hint="eastAsia" w:ascii="黑体" w:hAnsi="宋体" w:eastAsia="黑体" w:cs="黑体"/>
                <w:spacing w:val="-4"/>
                <w:szCs w:val="21"/>
              </w:rPr>
              <w:t>序号</w:t>
            </w:r>
          </w:p>
        </w:tc>
        <w:tc>
          <w:tcPr>
            <w:tcW w:w="7563" w:type="dxa"/>
            <w:noWrap w:val="0"/>
            <w:vAlign w:val="center"/>
          </w:tcPr>
          <w:p>
            <w:pPr>
              <w:spacing w:line="290" w:lineRule="exact"/>
              <w:jc w:val="center"/>
              <w:rPr>
                <w:rFonts w:hint="eastAsia" w:ascii="黑体" w:hAnsi="宋体" w:eastAsia="黑体" w:cs="黑体"/>
                <w:szCs w:val="21"/>
              </w:rPr>
            </w:pPr>
            <w:r>
              <w:rPr>
                <w:rFonts w:hint="eastAsia" w:ascii="黑体" w:hAnsi="宋体" w:eastAsia="黑体" w:cs="黑体"/>
                <w:szCs w:val="21"/>
              </w:rPr>
              <w:t>违法违规行为</w:t>
            </w:r>
          </w:p>
        </w:tc>
        <w:tc>
          <w:tcPr>
            <w:tcW w:w="814" w:type="dxa"/>
            <w:noWrap w:val="0"/>
            <w:vAlign w:val="center"/>
          </w:tcPr>
          <w:p>
            <w:pPr>
              <w:spacing w:line="280" w:lineRule="exact"/>
              <w:jc w:val="center"/>
              <w:rPr>
                <w:rFonts w:hint="eastAsia" w:ascii="黑体" w:hAnsi="宋体" w:eastAsia="黑体" w:cs="黑体"/>
                <w:szCs w:val="21"/>
              </w:rPr>
            </w:pPr>
            <w:r>
              <w:rPr>
                <w:rFonts w:hint="eastAsia" w:ascii="黑体" w:hAnsi="宋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8963" w:type="dxa"/>
            <w:gridSpan w:val="3"/>
            <w:noWrap w:val="0"/>
            <w:vAlign w:val="center"/>
          </w:tcPr>
          <w:p>
            <w:pPr>
              <w:spacing w:line="290" w:lineRule="exact"/>
              <w:rPr>
                <w:rFonts w:hint="eastAsia" w:ascii="黑体" w:hAnsi="宋体" w:eastAsia="黑体"/>
                <w:szCs w:val="21"/>
              </w:rPr>
            </w:pPr>
            <w:r>
              <w:rPr>
                <w:rFonts w:hint="eastAsia" w:ascii="黑体" w:hAnsi="宋体" w:eastAsia="黑体"/>
                <w:bCs/>
                <w:szCs w:val="21"/>
              </w:rPr>
              <w:t>一、建设单位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586" w:type="dxa"/>
            <w:noWrap w:val="0"/>
            <w:vAlign w:val="center"/>
          </w:tcPr>
          <w:p>
            <w:pPr>
              <w:spacing w:line="290" w:lineRule="exact"/>
              <w:jc w:val="center"/>
              <w:rPr>
                <w:rFonts w:ascii="宋体" w:hAnsi="宋体"/>
                <w:szCs w:val="21"/>
              </w:rPr>
            </w:pPr>
            <w:r>
              <w:rPr>
                <w:rFonts w:hint="eastAsia" w:ascii="宋体" w:hAnsi="宋体"/>
                <w:szCs w:val="21"/>
              </w:rPr>
              <w:t>1</w:t>
            </w:r>
          </w:p>
        </w:tc>
        <w:tc>
          <w:tcPr>
            <w:tcW w:w="7563" w:type="dxa"/>
            <w:noWrap w:val="0"/>
            <w:vAlign w:val="center"/>
          </w:tcPr>
          <w:p>
            <w:pPr>
              <w:spacing w:line="290" w:lineRule="exact"/>
              <w:ind w:left="-42" w:leftChars="-20" w:right="-42" w:rightChars="-20"/>
              <w:rPr>
                <w:rFonts w:ascii="宋体" w:hAnsi="宋体"/>
                <w:szCs w:val="21"/>
              </w:rPr>
            </w:pPr>
            <w:r>
              <w:rPr>
                <w:rFonts w:hint="eastAsia" w:ascii="宋体" w:hAnsi="宋体"/>
                <w:szCs w:val="21"/>
              </w:rPr>
              <w:t>未取得施工许可擅自施工或超越施工许可规定范围施工的</w:t>
            </w:r>
          </w:p>
        </w:tc>
        <w:tc>
          <w:tcPr>
            <w:tcW w:w="814" w:type="dxa"/>
            <w:vMerge w:val="restart"/>
            <w:noWrap w:val="0"/>
            <w:vAlign w:val="center"/>
          </w:tcPr>
          <w:p>
            <w:pPr>
              <w:spacing w:line="300" w:lineRule="exact"/>
              <w:ind w:left="-42" w:leftChars="-20" w:right="-42" w:rightChars="-20"/>
              <w:rPr>
                <w:rFonts w:ascii="宋体" w:hAnsi="宋体"/>
                <w:szCs w:val="21"/>
              </w:rPr>
            </w:pPr>
            <w:r>
              <w:rPr>
                <w:rFonts w:ascii="宋体" w:hAnsi="宋体"/>
                <w:szCs w:val="21"/>
              </w:rPr>
              <w:t>施工许可及资质管理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586" w:type="dxa"/>
            <w:noWrap w:val="0"/>
            <w:vAlign w:val="center"/>
          </w:tcPr>
          <w:p>
            <w:pPr>
              <w:spacing w:line="290" w:lineRule="exact"/>
              <w:jc w:val="center"/>
              <w:rPr>
                <w:rFonts w:ascii="宋体" w:hAnsi="宋体"/>
                <w:szCs w:val="21"/>
              </w:rPr>
            </w:pPr>
            <w:r>
              <w:rPr>
                <w:rFonts w:hint="eastAsia" w:ascii="宋体" w:hAnsi="宋体"/>
                <w:szCs w:val="21"/>
              </w:rPr>
              <w:t>2</w:t>
            </w:r>
          </w:p>
        </w:tc>
        <w:tc>
          <w:tcPr>
            <w:tcW w:w="7563" w:type="dxa"/>
            <w:noWrap w:val="0"/>
            <w:vAlign w:val="center"/>
          </w:tcPr>
          <w:p>
            <w:pPr>
              <w:spacing w:line="290" w:lineRule="exact"/>
              <w:ind w:left="-42" w:leftChars="-20" w:right="-42" w:rightChars="-20"/>
              <w:rPr>
                <w:rFonts w:ascii="宋体" w:hAnsi="宋体"/>
                <w:szCs w:val="21"/>
              </w:rPr>
            </w:pPr>
            <w:r>
              <w:rPr>
                <w:rFonts w:hint="eastAsia" w:ascii="宋体" w:hAnsi="宋体"/>
                <w:szCs w:val="21"/>
              </w:rPr>
              <w:t>将工程发包给无相应施工资质或安全生产许可证的建筑业企业的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3</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施工图设计文件或重大设计变更未按规定组织第三方审图的</w:t>
            </w:r>
          </w:p>
        </w:tc>
        <w:tc>
          <w:tcPr>
            <w:tcW w:w="814" w:type="dxa"/>
            <w:vMerge w:val="restart"/>
            <w:noWrap w:val="0"/>
            <w:vAlign w:val="center"/>
          </w:tcPr>
          <w:p>
            <w:pPr>
              <w:spacing w:line="300" w:lineRule="exact"/>
              <w:ind w:left="-42" w:leftChars="-20" w:right="-42" w:rightChars="-20"/>
              <w:rPr>
                <w:rFonts w:ascii="宋体" w:hAnsi="宋体"/>
                <w:szCs w:val="21"/>
              </w:rPr>
            </w:pPr>
            <w:r>
              <w:rPr>
                <w:rFonts w:ascii="宋体" w:hAnsi="宋体"/>
                <w:szCs w:val="21"/>
              </w:rPr>
              <w:t>安全行为管理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4</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未按规定落实“三层三级”安全检查，或“三层三级”安全检查资料弄虚作假的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ascii="宋体" w:hAnsi="宋体"/>
                <w:szCs w:val="21"/>
              </w:rPr>
            </w:pPr>
            <w:r>
              <w:rPr>
                <w:rFonts w:hint="eastAsia" w:ascii="宋体" w:hAnsi="宋体"/>
                <w:szCs w:val="21"/>
              </w:rPr>
              <w:t>5</w:t>
            </w:r>
          </w:p>
        </w:tc>
        <w:tc>
          <w:tcPr>
            <w:tcW w:w="7563" w:type="dxa"/>
            <w:noWrap w:val="0"/>
            <w:vAlign w:val="center"/>
          </w:tcPr>
          <w:p>
            <w:pPr>
              <w:spacing w:line="290" w:lineRule="exact"/>
              <w:ind w:left="-42" w:leftChars="-20" w:right="-42" w:rightChars="-20"/>
              <w:rPr>
                <w:rFonts w:ascii="宋体" w:hAnsi="宋体"/>
                <w:szCs w:val="21"/>
              </w:rPr>
            </w:pPr>
            <w:r>
              <w:rPr>
                <w:rFonts w:hint="eastAsia" w:ascii="宋体" w:hAnsi="宋体"/>
                <w:szCs w:val="21"/>
              </w:rPr>
              <w:t>未按照施工合同约定及时支付危大工程施工技术措施费或相应的安全防护文明施工措施费的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6</w:t>
            </w:r>
          </w:p>
        </w:tc>
        <w:tc>
          <w:tcPr>
            <w:tcW w:w="7563" w:type="dxa"/>
            <w:noWrap w:val="0"/>
            <w:vAlign w:val="center"/>
          </w:tcPr>
          <w:p>
            <w:pPr>
              <w:spacing w:line="290" w:lineRule="exact"/>
              <w:ind w:left="-42" w:leftChars="-20" w:right="-42" w:rightChars="-20"/>
              <w:rPr>
                <w:rFonts w:hint="eastAsia" w:ascii="宋体" w:hAnsi="宋体"/>
                <w:szCs w:val="21"/>
              </w:rPr>
            </w:pPr>
            <w:r>
              <w:rPr>
                <w:rFonts w:ascii="宋体" w:hAnsi="宋体"/>
                <w:szCs w:val="21"/>
              </w:rPr>
              <w:t>在燃气管道安全保护或控制范围内从事活动</w:t>
            </w:r>
            <w:r>
              <w:rPr>
                <w:rFonts w:hint="eastAsia" w:ascii="宋体" w:hAnsi="宋体"/>
                <w:szCs w:val="21"/>
              </w:rPr>
              <w:t>未与管道燃气企业签订安全保护协议擅自施工的，或在地铁安全保护区从事施工活动，未与地铁运营单位签订安全文明施工协议的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7</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未根据专家评审意见对基坑、暗挖工程设计方案进行完善的</w:t>
            </w:r>
          </w:p>
        </w:tc>
        <w:tc>
          <w:tcPr>
            <w:tcW w:w="814" w:type="dxa"/>
            <w:vMerge w:val="restart"/>
            <w:noWrap w:val="0"/>
            <w:vAlign w:val="center"/>
          </w:tcPr>
          <w:p>
            <w:pPr>
              <w:spacing w:line="300" w:lineRule="exact"/>
              <w:ind w:left="-42" w:leftChars="-20" w:right="-42" w:rightChars="-20"/>
              <w:rPr>
                <w:rFonts w:ascii="宋体" w:hAnsi="宋体"/>
                <w:szCs w:val="21"/>
              </w:rPr>
            </w:pPr>
            <w:r>
              <w:rPr>
                <w:rFonts w:ascii="宋体" w:hAnsi="宋体"/>
                <w:szCs w:val="21"/>
              </w:rPr>
              <w:t>危大工程管理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ascii="宋体" w:hAnsi="宋体"/>
                <w:szCs w:val="21"/>
              </w:rPr>
            </w:pPr>
            <w:r>
              <w:rPr>
                <w:rFonts w:hint="eastAsia" w:ascii="宋体" w:hAnsi="宋体"/>
                <w:szCs w:val="21"/>
              </w:rPr>
              <w:t>8</w:t>
            </w:r>
          </w:p>
        </w:tc>
        <w:tc>
          <w:tcPr>
            <w:tcW w:w="7563" w:type="dxa"/>
            <w:noWrap w:val="0"/>
            <w:vAlign w:val="center"/>
          </w:tcPr>
          <w:p>
            <w:pPr>
              <w:spacing w:line="290" w:lineRule="exact"/>
              <w:ind w:left="-42" w:leftChars="-20" w:right="-42" w:rightChars="-20"/>
              <w:rPr>
                <w:rFonts w:ascii="宋体" w:hAnsi="宋体"/>
                <w:szCs w:val="21"/>
              </w:rPr>
            </w:pPr>
            <w:r>
              <w:rPr>
                <w:rFonts w:hint="eastAsia" w:ascii="宋体" w:hAnsi="宋体"/>
                <w:szCs w:val="21"/>
              </w:rPr>
              <w:t>危大工程未按规定委托具有相应勘察资质的单位进行第三方监测，或未对第三方监测单位报告的异常情况组织采取处置措施的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8963" w:type="dxa"/>
            <w:gridSpan w:val="3"/>
            <w:noWrap w:val="0"/>
            <w:vAlign w:val="center"/>
          </w:tcPr>
          <w:p>
            <w:pPr>
              <w:spacing w:line="300" w:lineRule="exact"/>
              <w:ind w:left="-42" w:leftChars="-20" w:right="-42" w:rightChars="-20"/>
              <w:rPr>
                <w:rFonts w:ascii="黑体" w:hAnsi="宋体" w:eastAsia="黑体"/>
                <w:bCs/>
                <w:szCs w:val="21"/>
              </w:rPr>
            </w:pPr>
            <w:r>
              <w:rPr>
                <w:rFonts w:hint="eastAsia" w:ascii="黑体" w:hAnsi="宋体" w:eastAsia="黑体"/>
                <w:bCs/>
                <w:szCs w:val="21"/>
              </w:rPr>
              <w:t>二、施工单位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1</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项目经理不在岗履职或特殊天气条件下（台风白色、暴雨黄色及以上预警期间）项目经理未在岗值守的</w:t>
            </w:r>
          </w:p>
        </w:tc>
        <w:tc>
          <w:tcPr>
            <w:tcW w:w="814" w:type="dxa"/>
            <w:vMerge w:val="restart"/>
            <w:noWrap w:val="0"/>
            <w:vAlign w:val="center"/>
          </w:tcPr>
          <w:p>
            <w:pPr>
              <w:spacing w:line="300" w:lineRule="exact"/>
              <w:ind w:left="-42" w:leftChars="-20" w:right="-42" w:rightChars="-20"/>
              <w:rPr>
                <w:rFonts w:ascii="宋体" w:hAnsi="宋体"/>
                <w:szCs w:val="21"/>
              </w:rPr>
            </w:pPr>
            <w:r>
              <w:rPr>
                <w:rFonts w:ascii="宋体" w:hAnsi="宋体"/>
                <w:szCs w:val="21"/>
              </w:rPr>
              <w:t>人员在岗履职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2</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周</w:t>
            </w:r>
            <w:r>
              <w:rPr>
                <w:rFonts w:hint="eastAsia" w:ascii="宋体" w:hAnsi="宋体"/>
                <w:spacing w:val="-2"/>
                <w:szCs w:val="21"/>
              </w:rPr>
              <w:t>末、节假日未落实施工单位主要项目管理人员（项目经理、生产经理）领导值班</w:t>
            </w:r>
            <w:r>
              <w:rPr>
                <w:rFonts w:hint="eastAsia" w:ascii="宋体" w:hAnsi="宋体"/>
                <w:szCs w:val="21"/>
              </w:rPr>
              <w:t>制度的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3</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专职安全生产管理人员配备不符合要求或不在岗履职的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4</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未按规定落实“三层三级”安全检查，或“三层三级”安全检查资料弄虚作假的</w:t>
            </w:r>
          </w:p>
        </w:tc>
        <w:tc>
          <w:tcPr>
            <w:tcW w:w="814" w:type="dxa"/>
            <w:vMerge w:val="restart"/>
            <w:noWrap w:val="0"/>
            <w:vAlign w:val="center"/>
          </w:tcPr>
          <w:p>
            <w:pPr>
              <w:spacing w:line="300" w:lineRule="exact"/>
              <w:ind w:left="-42" w:leftChars="-20" w:right="-42" w:rightChars="-20"/>
              <w:rPr>
                <w:rFonts w:ascii="宋体" w:hAnsi="宋体"/>
                <w:szCs w:val="21"/>
              </w:rPr>
            </w:pPr>
            <w:r>
              <w:rPr>
                <w:rFonts w:ascii="宋体" w:hAnsi="宋体"/>
                <w:szCs w:val="21"/>
              </w:rPr>
              <w:t>安全行为管理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5</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作业人员未接受三级安全教育或安全技术交底的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6</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特种作业人员未持有效证件上岗作业的，或未在“深圳市住房和建设局实名制和分账制管理平台”实名登记并学习考试合格即上岗作业的</w:t>
            </w:r>
          </w:p>
        </w:tc>
        <w:tc>
          <w:tcPr>
            <w:tcW w:w="814" w:type="dxa"/>
            <w:vMerge w:val="continue"/>
            <w:noWrap w:val="0"/>
            <w:vAlign w:val="center"/>
          </w:tcPr>
          <w:p>
            <w:pPr>
              <w:spacing w:line="300" w:lineRule="exact"/>
              <w:ind w:left="-42" w:leftChars="-20" w:right="-42" w:rightChars="-20"/>
              <w:rPr>
                <w:rFonts w:ascii="宋体" w:hAnsi="宋体"/>
                <w:szCs w:val="21"/>
              </w:rPr>
            </w:pPr>
          </w:p>
        </w:tc>
      </w:tr>
    </w:tbl>
    <w:p>
      <w:pPr>
        <w:spacing w:line="240" w:lineRule="exact"/>
        <w:rPr>
          <w:rFonts w:hint="eastAsia"/>
        </w:rPr>
      </w:pPr>
    </w:p>
    <w:tbl>
      <w:tblPr>
        <w:tblStyle w:val="3"/>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56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ind w:left="-42" w:leftChars="-20" w:right="-42" w:rightChars="-20"/>
              <w:jc w:val="center"/>
              <w:rPr>
                <w:rFonts w:hint="eastAsia" w:ascii="黑体" w:hAnsi="宋体" w:eastAsia="黑体" w:cs="黑体"/>
                <w:spacing w:val="-4"/>
                <w:szCs w:val="21"/>
              </w:rPr>
            </w:pPr>
            <w:r>
              <w:rPr>
                <w:rFonts w:hint="eastAsia" w:ascii="黑体" w:hAnsi="宋体" w:eastAsia="黑体" w:cs="黑体"/>
                <w:spacing w:val="-4"/>
                <w:szCs w:val="21"/>
              </w:rPr>
              <w:t>序号</w:t>
            </w:r>
          </w:p>
        </w:tc>
        <w:tc>
          <w:tcPr>
            <w:tcW w:w="7563" w:type="dxa"/>
            <w:noWrap w:val="0"/>
            <w:vAlign w:val="center"/>
          </w:tcPr>
          <w:p>
            <w:pPr>
              <w:spacing w:line="300" w:lineRule="exact"/>
              <w:jc w:val="center"/>
              <w:rPr>
                <w:rFonts w:hint="eastAsia" w:ascii="黑体" w:hAnsi="宋体" w:eastAsia="黑体" w:cs="黑体"/>
                <w:szCs w:val="21"/>
              </w:rPr>
            </w:pPr>
            <w:r>
              <w:rPr>
                <w:rFonts w:hint="eastAsia" w:ascii="黑体" w:hAnsi="宋体" w:eastAsia="黑体" w:cs="黑体"/>
                <w:szCs w:val="21"/>
              </w:rPr>
              <w:t>违法违规行为</w:t>
            </w:r>
          </w:p>
        </w:tc>
        <w:tc>
          <w:tcPr>
            <w:tcW w:w="814" w:type="dxa"/>
            <w:noWrap w:val="0"/>
            <w:vAlign w:val="center"/>
          </w:tcPr>
          <w:p>
            <w:pPr>
              <w:spacing w:line="300" w:lineRule="exact"/>
              <w:jc w:val="center"/>
              <w:rPr>
                <w:rFonts w:hint="eastAsia" w:ascii="黑体" w:hAnsi="宋体" w:eastAsia="黑体" w:cs="黑体"/>
                <w:szCs w:val="21"/>
              </w:rPr>
            </w:pPr>
            <w:r>
              <w:rPr>
                <w:rFonts w:hint="eastAsia" w:ascii="黑体" w:hAnsi="宋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7</w:t>
            </w:r>
          </w:p>
        </w:tc>
        <w:tc>
          <w:tcPr>
            <w:tcW w:w="7563"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危大工程施工前未按规定编审、论证专项施工方案的，或未按经审批合格的专项施工方案组织施工的</w:t>
            </w:r>
          </w:p>
        </w:tc>
        <w:tc>
          <w:tcPr>
            <w:tcW w:w="814" w:type="dxa"/>
            <w:vMerge w:val="restart"/>
            <w:noWrap w:val="0"/>
            <w:vAlign w:val="center"/>
          </w:tcPr>
          <w:p>
            <w:pPr>
              <w:spacing w:line="300" w:lineRule="exact"/>
              <w:ind w:left="-42" w:leftChars="-20" w:right="-42" w:rightChars="-20"/>
              <w:rPr>
                <w:rFonts w:ascii="宋体" w:hAnsi="宋体"/>
                <w:szCs w:val="21"/>
              </w:rPr>
            </w:pPr>
            <w:r>
              <w:rPr>
                <w:rFonts w:ascii="宋体" w:hAnsi="宋体"/>
                <w:szCs w:val="21"/>
              </w:rPr>
              <w:t>危大工程管理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8</w:t>
            </w:r>
          </w:p>
        </w:tc>
        <w:tc>
          <w:tcPr>
            <w:tcW w:w="7563"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未根据专家论证报告对超过一定规模的危大工程专项施工方案进行修改，或未按规定重新组织专家论证的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9</w:t>
            </w:r>
          </w:p>
        </w:tc>
        <w:tc>
          <w:tcPr>
            <w:tcW w:w="7563" w:type="dxa"/>
            <w:noWrap w:val="0"/>
            <w:vAlign w:val="center"/>
          </w:tcPr>
          <w:p>
            <w:pPr>
              <w:spacing w:line="300" w:lineRule="exact"/>
              <w:ind w:left="-42" w:leftChars="-20" w:right="-42" w:rightChars="-20"/>
              <w:rPr>
                <w:rFonts w:hint="eastAsia" w:ascii="宋体" w:hAnsi="宋体"/>
                <w:szCs w:val="21"/>
              </w:rPr>
            </w:pPr>
            <w:r>
              <w:rPr>
                <w:rFonts w:ascii="宋体" w:hAnsi="宋体"/>
                <w:szCs w:val="21"/>
              </w:rPr>
              <w:t>专项施工方案因规划调整、设计变更等原因确需调整，</w:t>
            </w:r>
            <w:r>
              <w:rPr>
                <w:rFonts w:hint="eastAsia" w:ascii="宋体" w:hAnsi="宋体"/>
                <w:szCs w:val="21"/>
              </w:rPr>
              <w:t>但</w:t>
            </w:r>
            <w:r>
              <w:rPr>
                <w:rFonts w:ascii="宋体" w:hAnsi="宋体"/>
                <w:szCs w:val="21"/>
              </w:rPr>
              <w:t>修改后的专项施工方案</w:t>
            </w:r>
            <w:r>
              <w:rPr>
                <w:rFonts w:hint="eastAsia" w:ascii="宋体" w:hAnsi="宋体"/>
                <w:szCs w:val="21"/>
              </w:rPr>
              <w:t>未</w:t>
            </w:r>
            <w:r>
              <w:rPr>
                <w:rFonts w:ascii="宋体" w:hAnsi="宋体"/>
                <w:szCs w:val="21"/>
              </w:rPr>
              <w:t>按照规定重新审核</w:t>
            </w:r>
            <w:r>
              <w:rPr>
                <w:rFonts w:hint="eastAsia" w:ascii="宋体" w:hAnsi="宋体"/>
                <w:szCs w:val="21"/>
              </w:rPr>
              <w:t>或</w:t>
            </w:r>
            <w:r>
              <w:rPr>
                <w:rFonts w:ascii="宋体" w:hAnsi="宋体"/>
                <w:szCs w:val="21"/>
              </w:rPr>
              <w:t>论证</w:t>
            </w:r>
            <w:r>
              <w:rPr>
                <w:rFonts w:hint="eastAsia" w:ascii="宋体" w:hAnsi="宋体"/>
                <w:szCs w:val="21"/>
              </w:rPr>
              <w:t>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10</w:t>
            </w:r>
          </w:p>
        </w:tc>
        <w:tc>
          <w:tcPr>
            <w:tcW w:w="7563"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未按规定组织危大工程监测、巡视或验收的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11</w:t>
            </w:r>
          </w:p>
        </w:tc>
        <w:tc>
          <w:tcPr>
            <w:tcW w:w="7563" w:type="dxa"/>
            <w:noWrap w:val="0"/>
            <w:vAlign w:val="center"/>
          </w:tcPr>
          <w:p>
            <w:pPr>
              <w:spacing w:line="300" w:lineRule="exact"/>
              <w:ind w:left="-42" w:leftChars="-20" w:right="-42" w:rightChars="-20"/>
              <w:rPr>
                <w:rFonts w:ascii="宋体" w:hAnsi="宋体"/>
                <w:szCs w:val="21"/>
              </w:rPr>
            </w:pPr>
            <w:r>
              <w:rPr>
                <w:rFonts w:hint="eastAsia" w:ascii="宋体" w:hAnsi="宋体"/>
                <w:szCs w:val="21"/>
              </w:rPr>
              <w:t>基坑、暗挖工程未按经审查合格的施工图设计文件组织施工的</w:t>
            </w:r>
          </w:p>
        </w:tc>
        <w:tc>
          <w:tcPr>
            <w:tcW w:w="814" w:type="dxa"/>
            <w:vMerge w:val="restart"/>
            <w:noWrap w:val="0"/>
            <w:vAlign w:val="center"/>
          </w:tcPr>
          <w:p>
            <w:pPr>
              <w:spacing w:line="300" w:lineRule="exact"/>
              <w:ind w:left="-63" w:leftChars="-30" w:right="-42" w:rightChars="-20"/>
              <w:rPr>
                <w:rFonts w:ascii="宋体" w:hAnsi="宋体"/>
                <w:szCs w:val="21"/>
              </w:rPr>
            </w:pPr>
            <w:r>
              <w:rPr>
                <w:rFonts w:ascii="宋体" w:hAnsi="宋体"/>
                <w:spacing w:val="-8"/>
                <w:szCs w:val="21"/>
              </w:rPr>
              <w:t>基坑</w:t>
            </w:r>
            <w:r>
              <w:rPr>
                <w:rFonts w:hint="eastAsia" w:ascii="宋体" w:hAnsi="宋体"/>
                <w:spacing w:val="-62"/>
                <w:szCs w:val="21"/>
              </w:rPr>
              <w:t>、</w:t>
            </w:r>
            <w:r>
              <w:rPr>
                <w:rFonts w:ascii="宋体" w:hAnsi="宋体"/>
                <w:spacing w:val="-8"/>
                <w:szCs w:val="21"/>
              </w:rPr>
              <w:t>暗</w:t>
            </w:r>
            <w:r>
              <w:rPr>
                <w:rFonts w:ascii="宋体" w:hAnsi="宋体"/>
                <w:szCs w:val="21"/>
              </w:rPr>
              <w:t>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12</w:t>
            </w:r>
          </w:p>
        </w:tc>
        <w:tc>
          <w:tcPr>
            <w:tcW w:w="7563" w:type="dxa"/>
            <w:noWrap w:val="0"/>
            <w:vAlign w:val="center"/>
          </w:tcPr>
          <w:p>
            <w:pPr>
              <w:spacing w:line="300" w:lineRule="exact"/>
              <w:ind w:left="-42" w:leftChars="-20" w:right="-42" w:rightChars="-20"/>
              <w:rPr>
                <w:rFonts w:ascii="宋体" w:hAnsi="宋体"/>
                <w:szCs w:val="21"/>
              </w:rPr>
            </w:pPr>
            <w:r>
              <w:rPr>
                <w:rFonts w:hint="eastAsia" w:ascii="宋体" w:hAnsi="宋体"/>
                <w:szCs w:val="21"/>
              </w:rPr>
              <w:t>监测数据累计值或日增量超控制值，未及时采取有效处置措施并报告的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13</w:t>
            </w:r>
          </w:p>
        </w:tc>
        <w:tc>
          <w:tcPr>
            <w:tcW w:w="7563" w:type="dxa"/>
            <w:noWrap w:val="0"/>
            <w:vAlign w:val="center"/>
          </w:tcPr>
          <w:p>
            <w:pPr>
              <w:spacing w:line="300" w:lineRule="exact"/>
              <w:ind w:left="-42" w:leftChars="-20" w:right="-42" w:rightChars="-20"/>
              <w:rPr>
                <w:rFonts w:ascii="宋体" w:hAnsi="宋体"/>
                <w:szCs w:val="21"/>
              </w:rPr>
            </w:pPr>
            <w:r>
              <w:rPr>
                <w:rFonts w:hint="eastAsia" w:ascii="宋体" w:hAnsi="宋体"/>
                <w:szCs w:val="21"/>
              </w:rPr>
              <w:t>盾构施工，建筑起重机械安拆、顶升（附着）等重要环节施工前未组织作业安全条件审核的</w:t>
            </w:r>
          </w:p>
        </w:tc>
        <w:tc>
          <w:tcPr>
            <w:tcW w:w="814" w:type="dxa"/>
            <w:vMerge w:val="restart"/>
            <w:noWrap w:val="0"/>
            <w:vAlign w:val="center"/>
          </w:tcPr>
          <w:p>
            <w:pPr>
              <w:spacing w:line="300" w:lineRule="exact"/>
              <w:ind w:left="-42" w:leftChars="-20" w:right="-42" w:rightChars="-20"/>
              <w:rPr>
                <w:rFonts w:ascii="宋体" w:hAnsi="宋体"/>
                <w:szCs w:val="21"/>
              </w:rPr>
            </w:pPr>
            <w:r>
              <w:rPr>
                <w:rFonts w:ascii="宋体" w:hAnsi="宋体"/>
                <w:szCs w:val="21"/>
              </w:rPr>
              <w:t>盾构</w:t>
            </w:r>
            <w:r>
              <w:rPr>
                <w:rFonts w:hint="eastAsia" w:ascii="宋体" w:hAnsi="宋体"/>
                <w:szCs w:val="21"/>
              </w:rPr>
              <w:t>、</w:t>
            </w:r>
            <w:r>
              <w:rPr>
                <w:rFonts w:ascii="宋体" w:hAnsi="宋体"/>
                <w:szCs w:val="21"/>
              </w:rPr>
              <w:t>起重机械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14</w:t>
            </w:r>
          </w:p>
        </w:tc>
        <w:tc>
          <w:tcPr>
            <w:tcW w:w="7563"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施工电梯的防坠器超过标定期限或未定期进行防坠落试验的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15</w:t>
            </w:r>
          </w:p>
        </w:tc>
        <w:tc>
          <w:tcPr>
            <w:tcW w:w="7563"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未制定并落实多塔作业防碰撞措施的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16</w:t>
            </w:r>
          </w:p>
        </w:tc>
        <w:tc>
          <w:tcPr>
            <w:tcW w:w="7563" w:type="dxa"/>
            <w:noWrap w:val="0"/>
            <w:vAlign w:val="center"/>
          </w:tcPr>
          <w:p>
            <w:pPr>
              <w:spacing w:line="280" w:lineRule="exact"/>
              <w:ind w:left="-42" w:leftChars="-20" w:right="-42" w:rightChars="-20"/>
              <w:rPr>
                <w:rFonts w:hint="eastAsia" w:ascii="宋体" w:hAnsi="宋体"/>
                <w:szCs w:val="21"/>
              </w:rPr>
            </w:pPr>
            <w:r>
              <w:rPr>
                <w:rFonts w:hint="eastAsia" w:ascii="宋体" w:hAnsi="宋体"/>
                <w:spacing w:val="-2"/>
                <w:szCs w:val="21"/>
              </w:rPr>
              <w:t>存在工人在吊物下方或起吊位置附近作业、不同种类（长度）物料混合捆扎吊装、</w:t>
            </w:r>
            <w:r>
              <w:rPr>
                <w:rFonts w:hint="eastAsia" w:ascii="宋体" w:hAnsi="宋体"/>
                <w:szCs w:val="21"/>
              </w:rPr>
              <w:t>歪拉斜吊或捆绑不牢进行吊装作业的；散料吊装未采用专用容器或容器内装的物品过满的；吊装区未设立警戒区，无专人值守的</w:t>
            </w:r>
          </w:p>
        </w:tc>
        <w:tc>
          <w:tcPr>
            <w:tcW w:w="814" w:type="dxa"/>
            <w:noWrap w:val="0"/>
            <w:vAlign w:val="center"/>
          </w:tcPr>
          <w:p>
            <w:pPr>
              <w:spacing w:line="300" w:lineRule="exact"/>
              <w:ind w:left="-42" w:leftChars="-20" w:right="-42" w:rightChars="-20"/>
              <w:rPr>
                <w:rFonts w:ascii="宋体" w:hAnsi="宋体"/>
                <w:szCs w:val="21"/>
              </w:rPr>
            </w:pPr>
            <w:r>
              <w:rPr>
                <w:rFonts w:hint="eastAsia" w:ascii="宋体" w:hAnsi="宋体"/>
                <w:szCs w:val="21"/>
              </w:rPr>
              <w:t>起重吊装管理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17</w:t>
            </w:r>
          </w:p>
        </w:tc>
        <w:tc>
          <w:tcPr>
            <w:tcW w:w="7563" w:type="dxa"/>
            <w:noWrap w:val="0"/>
            <w:vAlign w:val="center"/>
          </w:tcPr>
          <w:p>
            <w:pPr>
              <w:spacing w:line="280" w:lineRule="exact"/>
              <w:ind w:left="-42" w:leftChars="-20" w:right="-42" w:rightChars="-20"/>
              <w:rPr>
                <w:rFonts w:hint="eastAsia" w:ascii="宋体" w:hAnsi="宋体"/>
                <w:szCs w:val="21"/>
              </w:rPr>
            </w:pPr>
            <w:r>
              <w:rPr>
                <w:rFonts w:hint="eastAsia" w:ascii="宋体" w:hAnsi="宋体"/>
                <w:spacing w:val="-2"/>
                <w:szCs w:val="21"/>
              </w:rPr>
              <w:t>抽查发现3处及以上临边、洞口防护缺失，3名及以上高处作业人员未系安全带，</w:t>
            </w:r>
            <w:r>
              <w:rPr>
                <w:rFonts w:hint="eastAsia" w:ascii="宋体" w:hAnsi="宋体"/>
                <w:szCs w:val="21"/>
              </w:rPr>
              <w:t>或超过3.6米的支模架未设置水平兜网的</w:t>
            </w:r>
          </w:p>
        </w:tc>
        <w:tc>
          <w:tcPr>
            <w:tcW w:w="814" w:type="dxa"/>
            <w:vMerge w:val="restart"/>
            <w:noWrap w:val="0"/>
            <w:vAlign w:val="center"/>
          </w:tcPr>
          <w:p>
            <w:pPr>
              <w:spacing w:line="300" w:lineRule="exact"/>
              <w:ind w:left="-42" w:leftChars="-20" w:right="-42" w:rightChars="-20"/>
              <w:rPr>
                <w:rFonts w:ascii="宋体" w:hAnsi="宋体"/>
                <w:szCs w:val="21"/>
              </w:rPr>
            </w:pPr>
            <w:r>
              <w:rPr>
                <w:rFonts w:hint="eastAsia" w:ascii="宋体" w:hAnsi="宋体"/>
                <w:szCs w:val="21"/>
              </w:rPr>
              <w:t>高处作业管理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18</w:t>
            </w:r>
          </w:p>
        </w:tc>
        <w:tc>
          <w:tcPr>
            <w:tcW w:w="7563"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高处作业吊篮未经检测和验收合格投入使用的；防坠安全锁超过标定期限的；高处作业吊篮内同时有2名以上（不含2名）作业人员的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19</w:t>
            </w:r>
          </w:p>
        </w:tc>
        <w:tc>
          <w:tcPr>
            <w:tcW w:w="7563"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未按规定编审施工现场临时用电组织设计，或未按要求组织实施的</w:t>
            </w:r>
          </w:p>
        </w:tc>
        <w:tc>
          <w:tcPr>
            <w:tcW w:w="814" w:type="dxa"/>
            <w:vMerge w:val="restart"/>
            <w:noWrap w:val="0"/>
            <w:vAlign w:val="center"/>
          </w:tcPr>
          <w:p>
            <w:pPr>
              <w:spacing w:line="300" w:lineRule="exact"/>
              <w:ind w:left="-42" w:leftChars="-20" w:right="-42" w:rightChars="-20"/>
              <w:rPr>
                <w:rFonts w:ascii="宋体" w:hAnsi="宋体"/>
                <w:szCs w:val="21"/>
              </w:rPr>
            </w:pPr>
            <w:r>
              <w:rPr>
                <w:rFonts w:ascii="宋体" w:hAnsi="宋体"/>
                <w:szCs w:val="21"/>
              </w:rPr>
              <w:t>施工临时用电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20</w:t>
            </w:r>
          </w:p>
        </w:tc>
        <w:tc>
          <w:tcPr>
            <w:tcW w:w="7563"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施工临时用电未按规定采用三级配电两级漏电保护系统或TN-S接零保护系统的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21</w:t>
            </w:r>
          </w:p>
        </w:tc>
        <w:tc>
          <w:tcPr>
            <w:tcW w:w="7563"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交流弧焊机未使用二次空载降压保护器的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22</w:t>
            </w:r>
          </w:p>
        </w:tc>
        <w:tc>
          <w:tcPr>
            <w:tcW w:w="7563" w:type="dxa"/>
            <w:noWrap w:val="0"/>
            <w:vAlign w:val="center"/>
          </w:tcPr>
          <w:p>
            <w:pPr>
              <w:spacing w:line="300" w:lineRule="exact"/>
              <w:ind w:left="-42" w:leftChars="-20" w:right="-42" w:rightChars="-20"/>
              <w:rPr>
                <w:rFonts w:ascii="宋体" w:hAnsi="宋体"/>
                <w:szCs w:val="21"/>
              </w:rPr>
            </w:pPr>
            <w:r>
              <w:rPr>
                <w:rFonts w:hint="eastAsia" w:ascii="宋体" w:hAnsi="宋体"/>
                <w:szCs w:val="21"/>
              </w:rPr>
              <w:t>动火作业时，未按规定审批、监护和采取防火措施的</w:t>
            </w:r>
          </w:p>
        </w:tc>
        <w:tc>
          <w:tcPr>
            <w:tcW w:w="814" w:type="dxa"/>
            <w:vMerge w:val="restart"/>
            <w:noWrap w:val="0"/>
            <w:vAlign w:val="center"/>
          </w:tcPr>
          <w:p>
            <w:pPr>
              <w:spacing w:line="300" w:lineRule="exact"/>
              <w:ind w:left="-42" w:leftChars="-20" w:right="-42" w:rightChars="-20"/>
              <w:rPr>
                <w:rFonts w:ascii="宋体" w:hAnsi="宋体"/>
                <w:szCs w:val="21"/>
              </w:rPr>
            </w:pPr>
            <w:r>
              <w:rPr>
                <w:rFonts w:ascii="宋体" w:hAnsi="宋体"/>
                <w:szCs w:val="21"/>
              </w:rPr>
              <w:t>施工消防安全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23</w:t>
            </w:r>
          </w:p>
        </w:tc>
        <w:tc>
          <w:tcPr>
            <w:tcW w:w="7563"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办公区或生活区板房所用材料燃烧性能等级、安全网燃烧性能不符合要求的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24</w:t>
            </w:r>
          </w:p>
        </w:tc>
        <w:tc>
          <w:tcPr>
            <w:tcW w:w="7563" w:type="dxa"/>
            <w:noWrap w:val="0"/>
            <w:vAlign w:val="center"/>
          </w:tcPr>
          <w:p>
            <w:pPr>
              <w:spacing w:line="300" w:lineRule="exact"/>
              <w:ind w:left="-42" w:leftChars="-20" w:right="-42" w:rightChars="-20"/>
              <w:rPr>
                <w:rFonts w:ascii="宋体" w:hAnsi="宋体"/>
                <w:szCs w:val="21"/>
              </w:rPr>
            </w:pPr>
            <w:r>
              <w:rPr>
                <w:rFonts w:hint="eastAsia" w:ascii="宋体" w:hAnsi="宋体"/>
                <w:szCs w:val="21"/>
              </w:rPr>
              <w:t>工人宿舍有使用220伏用电插座的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25</w:t>
            </w:r>
          </w:p>
        </w:tc>
        <w:tc>
          <w:tcPr>
            <w:tcW w:w="7563" w:type="dxa"/>
            <w:noWrap w:val="0"/>
            <w:vAlign w:val="center"/>
          </w:tcPr>
          <w:p>
            <w:pPr>
              <w:spacing w:line="280" w:lineRule="exact"/>
              <w:ind w:left="-42" w:leftChars="-20" w:right="-42" w:rightChars="-20"/>
              <w:rPr>
                <w:rFonts w:ascii="宋体" w:hAnsi="宋体"/>
                <w:szCs w:val="21"/>
              </w:rPr>
            </w:pPr>
            <w:r>
              <w:rPr>
                <w:rFonts w:hint="eastAsia" w:ascii="宋体" w:hAnsi="宋体"/>
                <w:szCs w:val="21"/>
              </w:rPr>
              <w:t>未按规定编制文明施工专项方案及安全施工专项方案并组织落实安全文明施工标准化措施的</w:t>
            </w:r>
          </w:p>
        </w:tc>
        <w:tc>
          <w:tcPr>
            <w:tcW w:w="814" w:type="dxa"/>
            <w:vMerge w:val="restart"/>
            <w:noWrap w:val="0"/>
            <w:vAlign w:val="center"/>
          </w:tcPr>
          <w:p>
            <w:pPr>
              <w:spacing w:line="300" w:lineRule="exact"/>
              <w:ind w:left="-42" w:leftChars="-20" w:right="-42" w:rightChars="-20"/>
              <w:rPr>
                <w:rFonts w:ascii="宋体" w:hAnsi="宋体"/>
                <w:szCs w:val="21"/>
              </w:rPr>
            </w:pPr>
            <w:r>
              <w:rPr>
                <w:rFonts w:ascii="宋体" w:hAnsi="宋体"/>
                <w:szCs w:val="21"/>
              </w:rPr>
              <w:t>安全文明施工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26</w:t>
            </w:r>
          </w:p>
        </w:tc>
        <w:tc>
          <w:tcPr>
            <w:tcW w:w="7563" w:type="dxa"/>
            <w:noWrap w:val="0"/>
            <w:vAlign w:val="center"/>
          </w:tcPr>
          <w:p>
            <w:pPr>
              <w:spacing w:line="300" w:lineRule="exact"/>
              <w:ind w:left="-42" w:leftChars="-20" w:right="-42" w:rightChars="-20"/>
              <w:rPr>
                <w:rFonts w:ascii="宋体" w:hAnsi="宋体"/>
                <w:szCs w:val="21"/>
              </w:rPr>
            </w:pPr>
            <w:r>
              <w:rPr>
                <w:rFonts w:ascii="宋体" w:hAnsi="宋体"/>
                <w:szCs w:val="21"/>
              </w:rPr>
              <w:t>未按要求落实工地扬尘</w:t>
            </w:r>
            <w:r>
              <w:rPr>
                <w:rFonts w:hint="eastAsia" w:ascii="宋体" w:hAnsi="宋体"/>
                <w:szCs w:val="21"/>
              </w:rPr>
              <w:t>污染防治“6个100%”工作要求的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27</w:t>
            </w:r>
          </w:p>
        </w:tc>
        <w:tc>
          <w:tcPr>
            <w:tcW w:w="7563"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未对安全文明措施实行专款专用的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28</w:t>
            </w:r>
          </w:p>
        </w:tc>
        <w:tc>
          <w:tcPr>
            <w:tcW w:w="7563" w:type="dxa"/>
            <w:noWrap w:val="0"/>
            <w:vAlign w:val="center"/>
          </w:tcPr>
          <w:p>
            <w:pPr>
              <w:spacing w:line="300" w:lineRule="exact"/>
              <w:ind w:left="-42" w:leftChars="-20" w:right="-42" w:rightChars="-20"/>
              <w:rPr>
                <w:rFonts w:ascii="宋体" w:hAnsi="宋体"/>
                <w:szCs w:val="21"/>
              </w:rPr>
            </w:pPr>
            <w:r>
              <w:rPr>
                <w:rFonts w:hint="eastAsia" w:ascii="宋体" w:hAnsi="宋体"/>
                <w:szCs w:val="21"/>
              </w:rPr>
              <w:t>未落实地下管线、设施保护“6个100%”措施的</w:t>
            </w:r>
          </w:p>
        </w:tc>
        <w:tc>
          <w:tcPr>
            <w:tcW w:w="814" w:type="dxa"/>
            <w:vMerge w:val="restart"/>
            <w:noWrap w:val="0"/>
            <w:vAlign w:val="center"/>
          </w:tcPr>
          <w:p>
            <w:pPr>
              <w:spacing w:line="300" w:lineRule="exact"/>
              <w:ind w:left="-42" w:leftChars="-20" w:right="-42" w:rightChars="-20"/>
              <w:rPr>
                <w:rFonts w:ascii="宋体" w:hAnsi="宋体"/>
                <w:szCs w:val="21"/>
              </w:rPr>
            </w:pPr>
            <w:r>
              <w:rPr>
                <w:rFonts w:hint="eastAsia" w:ascii="宋体" w:hAnsi="宋体"/>
                <w:szCs w:val="21"/>
              </w:rPr>
              <w:t>地下管线、设施保护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29</w:t>
            </w:r>
          </w:p>
        </w:tc>
        <w:tc>
          <w:tcPr>
            <w:tcW w:w="7563" w:type="dxa"/>
            <w:noWrap w:val="0"/>
            <w:vAlign w:val="center"/>
          </w:tcPr>
          <w:p>
            <w:pPr>
              <w:spacing w:line="280" w:lineRule="exact"/>
              <w:ind w:left="-42" w:leftChars="-20" w:right="-42" w:rightChars="-20"/>
              <w:rPr>
                <w:rFonts w:ascii="宋体" w:hAnsi="宋体"/>
                <w:szCs w:val="21"/>
              </w:rPr>
            </w:pPr>
            <w:r>
              <w:rPr>
                <w:rFonts w:hint="eastAsia" w:ascii="宋体" w:hAnsi="宋体"/>
                <w:spacing w:val="-2"/>
                <w:szCs w:val="21"/>
              </w:rPr>
              <w:t>违反安全文明施工有关规定，污染或损坏市政道路，损坏供水、供电等市政管线的</w:t>
            </w:r>
            <w:r>
              <w:rPr>
                <w:rFonts w:hint="eastAsia" w:ascii="宋体" w:hAnsi="宋体"/>
                <w:szCs w:val="21"/>
              </w:rPr>
              <w:t>（对公共安全构成严重威胁或社会影响恶劣的，按规定给予红色警示）</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30</w:t>
            </w:r>
          </w:p>
        </w:tc>
        <w:tc>
          <w:tcPr>
            <w:tcW w:w="7563" w:type="dxa"/>
            <w:noWrap w:val="0"/>
            <w:vAlign w:val="center"/>
          </w:tcPr>
          <w:p>
            <w:pPr>
              <w:spacing w:line="280" w:lineRule="exact"/>
              <w:ind w:left="-42" w:leftChars="-20" w:right="-42" w:rightChars="-20"/>
              <w:rPr>
                <w:rFonts w:ascii="宋体" w:hAnsi="宋体"/>
                <w:szCs w:val="21"/>
              </w:rPr>
            </w:pPr>
            <w:r>
              <w:rPr>
                <w:rFonts w:hint="eastAsia" w:ascii="宋体" w:hAnsi="宋体"/>
                <w:szCs w:val="21"/>
              </w:rPr>
              <w:t>未按规定对从业人员进行实名制安全教育培训及考核，从业人员未掌握本职工作所需的安全生产知识、技能、规章制度和安全操作规程的</w:t>
            </w:r>
          </w:p>
        </w:tc>
        <w:tc>
          <w:tcPr>
            <w:tcW w:w="814" w:type="dxa"/>
            <w:vMerge w:val="restart"/>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实名制管理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31</w:t>
            </w:r>
          </w:p>
        </w:tc>
        <w:tc>
          <w:tcPr>
            <w:tcW w:w="7563" w:type="dxa"/>
            <w:noWrap w:val="0"/>
            <w:vAlign w:val="center"/>
          </w:tcPr>
          <w:p>
            <w:pPr>
              <w:spacing w:line="280" w:lineRule="exact"/>
              <w:ind w:left="-42" w:leftChars="-20" w:right="-42" w:rightChars="-20"/>
              <w:rPr>
                <w:rFonts w:ascii="宋体" w:hAnsi="宋体"/>
                <w:szCs w:val="21"/>
              </w:rPr>
            </w:pPr>
            <w:r>
              <w:rPr>
                <w:rFonts w:hint="eastAsia" w:ascii="宋体" w:hAnsi="宋体"/>
                <w:szCs w:val="21"/>
              </w:rPr>
              <w:t>对未按规定开展劳务工实名制和分账制管理工作，造成质量安全管理隐患、维稳事件，被责令整改拒不整改或整改后仍不合格的</w:t>
            </w:r>
          </w:p>
        </w:tc>
        <w:tc>
          <w:tcPr>
            <w:tcW w:w="814" w:type="dxa"/>
            <w:vMerge w:val="continue"/>
            <w:noWrap w:val="0"/>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jc w:val="center"/>
              <w:rPr>
                <w:rFonts w:hint="eastAsia" w:ascii="宋体" w:hAnsi="宋体"/>
                <w:szCs w:val="21"/>
              </w:rPr>
            </w:pPr>
            <w:r>
              <w:rPr>
                <w:rFonts w:hint="eastAsia" w:ascii="宋体" w:hAnsi="宋体"/>
                <w:szCs w:val="21"/>
              </w:rPr>
              <w:t>32</w:t>
            </w:r>
          </w:p>
        </w:tc>
        <w:tc>
          <w:tcPr>
            <w:tcW w:w="7563"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在季度专项整治行动中被列入安全生产综合整治督办工地的</w:t>
            </w:r>
          </w:p>
        </w:tc>
        <w:tc>
          <w:tcPr>
            <w:tcW w:w="814"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综合整治督办</w:t>
            </w:r>
          </w:p>
        </w:tc>
      </w:tr>
    </w:tbl>
    <w:p>
      <w:pPr>
        <w:spacing w:line="240" w:lineRule="exact"/>
        <w:rPr>
          <w:rFonts w:hint="eastAsia"/>
        </w:rPr>
      </w:pPr>
    </w:p>
    <w:tbl>
      <w:tblPr>
        <w:tblStyle w:val="3"/>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56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300" w:lineRule="exact"/>
              <w:ind w:left="-42" w:leftChars="-20" w:right="-42" w:rightChars="-20"/>
              <w:jc w:val="center"/>
              <w:rPr>
                <w:rFonts w:hint="eastAsia" w:ascii="黑体" w:hAnsi="宋体" w:eastAsia="黑体" w:cs="黑体"/>
                <w:spacing w:val="-4"/>
                <w:szCs w:val="21"/>
              </w:rPr>
            </w:pPr>
            <w:r>
              <w:rPr>
                <w:rFonts w:hint="eastAsia" w:ascii="黑体" w:hAnsi="宋体" w:eastAsia="黑体" w:cs="黑体"/>
                <w:spacing w:val="-4"/>
                <w:szCs w:val="21"/>
              </w:rPr>
              <w:t>序号</w:t>
            </w:r>
          </w:p>
        </w:tc>
        <w:tc>
          <w:tcPr>
            <w:tcW w:w="7563" w:type="dxa"/>
            <w:noWrap w:val="0"/>
            <w:vAlign w:val="center"/>
          </w:tcPr>
          <w:p>
            <w:pPr>
              <w:spacing w:line="300" w:lineRule="exact"/>
              <w:jc w:val="center"/>
              <w:rPr>
                <w:rFonts w:hint="eastAsia" w:ascii="黑体" w:hAnsi="宋体" w:eastAsia="黑体" w:cs="黑体"/>
                <w:szCs w:val="21"/>
              </w:rPr>
            </w:pPr>
            <w:r>
              <w:rPr>
                <w:rFonts w:hint="eastAsia" w:ascii="黑体" w:hAnsi="宋体" w:eastAsia="黑体" w:cs="黑体"/>
                <w:szCs w:val="21"/>
              </w:rPr>
              <w:t>违法违规行为</w:t>
            </w:r>
          </w:p>
        </w:tc>
        <w:tc>
          <w:tcPr>
            <w:tcW w:w="814" w:type="dxa"/>
            <w:noWrap w:val="0"/>
            <w:vAlign w:val="center"/>
          </w:tcPr>
          <w:p>
            <w:pPr>
              <w:spacing w:line="300" w:lineRule="exact"/>
              <w:jc w:val="center"/>
              <w:rPr>
                <w:rFonts w:hint="eastAsia" w:ascii="黑体" w:hAnsi="宋体" w:eastAsia="黑体" w:cs="黑体"/>
                <w:szCs w:val="21"/>
              </w:rPr>
            </w:pPr>
            <w:r>
              <w:rPr>
                <w:rFonts w:hint="eastAsia" w:ascii="黑体" w:hAnsi="宋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8963" w:type="dxa"/>
            <w:gridSpan w:val="3"/>
            <w:noWrap w:val="0"/>
            <w:vAlign w:val="center"/>
          </w:tcPr>
          <w:p>
            <w:pPr>
              <w:spacing w:line="290" w:lineRule="exact"/>
              <w:ind w:left="-42" w:leftChars="-20" w:right="-42" w:rightChars="-20"/>
              <w:rPr>
                <w:rFonts w:ascii="黑体" w:hAnsi="宋体" w:eastAsia="黑体"/>
                <w:bCs/>
                <w:szCs w:val="21"/>
              </w:rPr>
            </w:pPr>
            <w:r>
              <w:rPr>
                <w:rFonts w:hint="eastAsia" w:ascii="黑体" w:hAnsi="宋体" w:eastAsia="黑体"/>
                <w:bCs/>
                <w:szCs w:val="21"/>
              </w:rPr>
              <w:t>三、监理单位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1</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项目总监不在岗履职或特殊天气条件下（台风白色、暴雨黄色及以上预警期间）项目总监未在岗值守的</w:t>
            </w:r>
          </w:p>
        </w:tc>
        <w:tc>
          <w:tcPr>
            <w:tcW w:w="814" w:type="dxa"/>
            <w:vMerge w:val="restart"/>
            <w:noWrap w:val="0"/>
            <w:vAlign w:val="center"/>
          </w:tcPr>
          <w:p>
            <w:pPr>
              <w:spacing w:line="280" w:lineRule="exact"/>
              <w:ind w:left="-42" w:leftChars="-20" w:right="-42" w:rightChars="-20"/>
              <w:rPr>
                <w:rFonts w:ascii="宋体" w:hAnsi="宋体"/>
                <w:szCs w:val="21"/>
              </w:rPr>
            </w:pPr>
            <w:r>
              <w:rPr>
                <w:rFonts w:ascii="宋体" w:hAnsi="宋体"/>
                <w:szCs w:val="21"/>
              </w:rPr>
              <w:t>人员在岗履职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2</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pacing w:val="-2"/>
                <w:szCs w:val="21"/>
              </w:rPr>
              <w:t>周末、节假日未落实监理单位主要项目管理人员（项目总监、总监代表）领导值班</w:t>
            </w:r>
            <w:r>
              <w:rPr>
                <w:rFonts w:hint="eastAsia" w:ascii="宋体" w:hAnsi="宋体"/>
                <w:szCs w:val="21"/>
              </w:rPr>
              <w:t>制度的</w:t>
            </w:r>
          </w:p>
        </w:tc>
        <w:tc>
          <w:tcPr>
            <w:tcW w:w="814" w:type="dxa"/>
            <w:vMerge w:val="continue"/>
            <w:noWrap w:val="0"/>
            <w:vAlign w:val="center"/>
          </w:tcPr>
          <w:p>
            <w:pPr>
              <w:spacing w:line="28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3</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未按规定落实“三层三级”安全检查，或“三层三级”安全检查资料弄虚作假的</w:t>
            </w:r>
          </w:p>
        </w:tc>
        <w:tc>
          <w:tcPr>
            <w:tcW w:w="814" w:type="dxa"/>
            <w:vMerge w:val="restart"/>
            <w:noWrap w:val="0"/>
            <w:vAlign w:val="center"/>
          </w:tcPr>
          <w:p>
            <w:pPr>
              <w:spacing w:line="280" w:lineRule="exact"/>
              <w:ind w:left="-42" w:leftChars="-20" w:right="-42" w:rightChars="-20"/>
              <w:rPr>
                <w:rFonts w:ascii="宋体" w:hAnsi="宋体"/>
                <w:szCs w:val="21"/>
              </w:rPr>
            </w:pPr>
            <w:r>
              <w:rPr>
                <w:rFonts w:ascii="宋体" w:hAnsi="宋体"/>
                <w:szCs w:val="21"/>
              </w:rPr>
              <w:t>安全行为管理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4</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未按规定审查施工单位资质（含专业承包、劳务分包）和安全生产许可证、特种作业人员证件、“三类人员”考核合格证的</w:t>
            </w:r>
          </w:p>
        </w:tc>
        <w:tc>
          <w:tcPr>
            <w:tcW w:w="814" w:type="dxa"/>
            <w:vMerge w:val="continue"/>
            <w:noWrap w:val="0"/>
            <w:vAlign w:val="center"/>
          </w:tcPr>
          <w:p>
            <w:pPr>
              <w:spacing w:line="28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5</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对检查发现的隐患，未跟踪整改落实情况的，或施工单位拒不整改时未及时向建设单位及监督机构报告的</w:t>
            </w:r>
          </w:p>
        </w:tc>
        <w:tc>
          <w:tcPr>
            <w:tcW w:w="814" w:type="dxa"/>
            <w:vMerge w:val="continue"/>
            <w:noWrap w:val="0"/>
            <w:vAlign w:val="center"/>
          </w:tcPr>
          <w:p>
            <w:pPr>
              <w:spacing w:line="28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6</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未按规定审查危大工程、安全文明施工专项方案的</w:t>
            </w:r>
          </w:p>
        </w:tc>
        <w:tc>
          <w:tcPr>
            <w:tcW w:w="814" w:type="dxa"/>
            <w:vMerge w:val="restart"/>
            <w:noWrap w:val="0"/>
            <w:vAlign w:val="center"/>
          </w:tcPr>
          <w:p>
            <w:pPr>
              <w:spacing w:line="280" w:lineRule="exact"/>
              <w:ind w:left="-42" w:leftChars="-20" w:right="-42" w:rightChars="-20"/>
              <w:rPr>
                <w:rFonts w:ascii="宋体" w:hAnsi="宋体"/>
                <w:szCs w:val="21"/>
              </w:rPr>
            </w:pPr>
            <w:r>
              <w:rPr>
                <w:rFonts w:ascii="宋体" w:hAnsi="宋体"/>
                <w:szCs w:val="21"/>
              </w:rPr>
              <w:t>危大工程管理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7</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未</w:t>
            </w:r>
            <w:r>
              <w:rPr>
                <w:rFonts w:ascii="宋体" w:hAnsi="宋体"/>
                <w:szCs w:val="21"/>
              </w:rPr>
              <w:t>结合危大工程专项施工方案编制监理实施细则</w:t>
            </w:r>
            <w:r>
              <w:rPr>
                <w:rFonts w:hint="eastAsia" w:ascii="宋体" w:hAnsi="宋体"/>
                <w:szCs w:val="21"/>
              </w:rPr>
              <w:t>的</w:t>
            </w:r>
          </w:p>
        </w:tc>
        <w:tc>
          <w:tcPr>
            <w:tcW w:w="814" w:type="dxa"/>
            <w:vMerge w:val="continue"/>
            <w:noWrap w:val="0"/>
            <w:vAlign w:val="center"/>
          </w:tcPr>
          <w:p>
            <w:pPr>
              <w:spacing w:line="28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8</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未按规定对危大工程实施</w:t>
            </w:r>
            <w:r>
              <w:rPr>
                <w:rFonts w:ascii="宋体" w:hAnsi="宋体"/>
                <w:szCs w:val="21"/>
              </w:rPr>
              <w:t>专项巡视检查</w:t>
            </w:r>
            <w:r>
              <w:rPr>
                <w:rFonts w:hint="eastAsia" w:ascii="宋体" w:hAnsi="宋体"/>
                <w:szCs w:val="21"/>
              </w:rPr>
              <w:t>或验收的</w:t>
            </w:r>
          </w:p>
        </w:tc>
        <w:tc>
          <w:tcPr>
            <w:tcW w:w="814" w:type="dxa"/>
            <w:vMerge w:val="continue"/>
            <w:noWrap w:val="0"/>
            <w:vAlign w:val="center"/>
          </w:tcPr>
          <w:p>
            <w:pPr>
              <w:spacing w:line="28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9</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盾构施工，建筑起重机械安拆、顶升（附着）等重要环节施工前未组织作业安全条件审核的</w:t>
            </w:r>
          </w:p>
        </w:tc>
        <w:tc>
          <w:tcPr>
            <w:tcW w:w="814" w:type="dxa"/>
            <w:vMerge w:val="continue"/>
            <w:noWrap w:val="0"/>
            <w:vAlign w:val="center"/>
          </w:tcPr>
          <w:p>
            <w:pPr>
              <w:spacing w:line="28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86" w:type="dxa"/>
            <w:noWrap w:val="0"/>
            <w:vAlign w:val="center"/>
          </w:tcPr>
          <w:p>
            <w:pPr>
              <w:spacing w:line="290" w:lineRule="exact"/>
              <w:jc w:val="center"/>
              <w:rPr>
                <w:rFonts w:hint="eastAsia" w:ascii="宋体" w:hAnsi="宋体"/>
                <w:szCs w:val="21"/>
              </w:rPr>
            </w:pPr>
            <w:r>
              <w:rPr>
                <w:rFonts w:hint="eastAsia" w:ascii="宋体" w:hAnsi="宋体"/>
                <w:szCs w:val="21"/>
              </w:rPr>
              <w:t>10</w:t>
            </w:r>
          </w:p>
        </w:tc>
        <w:tc>
          <w:tcPr>
            <w:tcW w:w="7563"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未组织对应在开工前实施的临时设施、安全文明措施、地下管线保护进行开工条件验收的</w:t>
            </w:r>
          </w:p>
        </w:tc>
        <w:tc>
          <w:tcPr>
            <w:tcW w:w="814" w:type="dxa"/>
            <w:noWrap w:val="0"/>
            <w:vAlign w:val="center"/>
          </w:tcPr>
          <w:p>
            <w:pPr>
              <w:spacing w:line="280" w:lineRule="exact"/>
              <w:ind w:left="-42" w:leftChars="-20" w:right="-42" w:rightChars="-20"/>
              <w:rPr>
                <w:rFonts w:ascii="宋体" w:hAnsi="宋体"/>
                <w:szCs w:val="21"/>
              </w:rPr>
            </w:pPr>
            <w:r>
              <w:rPr>
                <w:rFonts w:ascii="宋体" w:hAnsi="宋体"/>
                <w:szCs w:val="21"/>
              </w:rPr>
              <w:t>安全文明施工</w:t>
            </w:r>
          </w:p>
        </w:tc>
      </w:tr>
    </w:tbl>
    <w:p>
      <w:pPr>
        <w:pStyle w:val="4"/>
        <w:spacing w:before="120" w:beforeLines="50" w:line="300" w:lineRule="exact"/>
        <w:ind w:left="735" w:hanging="735" w:hangingChars="350"/>
        <w:rPr>
          <w:rFonts w:hint="eastAsia" w:ascii="楷体_GB2312" w:hAnsi="宋体" w:eastAsia="楷体_GB2312"/>
          <w:sz w:val="21"/>
          <w:szCs w:val="21"/>
          <w:lang w:eastAsia="zh-CN"/>
        </w:rPr>
      </w:pPr>
      <w:r>
        <w:rPr>
          <w:rFonts w:hint="eastAsia" w:ascii="楷体_GB2312" w:hAnsi="宋体" w:eastAsia="楷体_GB2312"/>
          <w:sz w:val="21"/>
          <w:szCs w:val="21"/>
          <w:lang w:eastAsia="zh-CN"/>
        </w:rPr>
        <w:t>注：</w:t>
      </w:r>
      <w:r>
        <w:rPr>
          <w:rFonts w:hint="eastAsia" w:ascii="楷体_GB2312" w:hAnsi="宋体" w:eastAsia="楷体_GB2312"/>
          <w:sz w:val="21"/>
          <w:szCs w:val="21"/>
          <w:lang w:val="en-US" w:eastAsia="zh-CN"/>
        </w:rPr>
        <w:t>1．</w:t>
      </w:r>
      <w:r>
        <w:rPr>
          <w:rFonts w:hint="eastAsia" w:ascii="楷体_GB2312" w:hAnsi="宋体" w:eastAsia="楷体_GB2312"/>
          <w:sz w:val="21"/>
          <w:szCs w:val="21"/>
        </w:rPr>
        <w:t>扬尘</w:t>
      </w:r>
      <w:r>
        <w:rPr>
          <w:rFonts w:hint="eastAsia" w:ascii="楷体_GB2312" w:hAnsi="宋体" w:eastAsia="楷体_GB2312"/>
          <w:sz w:val="21"/>
          <w:szCs w:val="21"/>
          <w:lang w:eastAsia="zh-CN"/>
        </w:rPr>
        <w:t>污染防治</w:t>
      </w:r>
      <w:r>
        <w:rPr>
          <w:rFonts w:hint="eastAsia" w:ascii="楷体_GB2312" w:hAnsi="宋体" w:eastAsia="楷体_GB2312"/>
          <w:sz w:val="21"/>
          <w:szCs w:val="21"/>
        </w:rPr>
        <w:t>“6个100%”工作要求</w:t>
      </w:r>
      <w:r>
        <w:rPr>
          <w:rFonts w:hint="eastAsia" w:ascii="楷体_GB2312" w:hAnsi="宋体" w:eastAsia="楷体_GB2312"/>
          <w:sz w:val="21"/>
          <w:szCs w:val="21"/>
          <w:lang w:eastAsia="zh-CN"/>
        </w:rPr>
        <w:t>是指：施工围挡及外架100%全封闭、出入口及车行道100%硬底化、出入口100%安装冲洗设施、易起尘作业面100%湿法施工、裸露土及易起尘物料100%覆盖、出入口100%安装TSP在线监测设备。</w:t>
      </w:r>
    </w:p>
    <w:p>
      <w:r>
        <w:rPr>
          <w:rFonts w:hint="eastAsia" w:ascii="楷体_GB2312" w:hAnsi="宋体" w:eastAsia="楷体_GB2312"/>
          <w:sz w:val="21"/>
          <w:szCs w:val="21"/>
          <w:lang w:val="en-US" w:eastAsia="zh-CN"/>
        </w:rPr>
        <w:t>2．</w:t>
      </w:r>
      <w:r>
        <w:rPr>
          <w:rFonts w:hint="eastAsia" w:ascii="楷体_GB2312" w:hAnsi="宋体" w:eastAsia="楷体_GB2312"/>
          <w:sz w:val="21"/>
          <w:szCs w:val="21"/>
        </w:rPr>
        <w:t>地下管线、设施保护“6个100%”措施</w:t>
      </w:r>
      <w:r>
        <w:rPr>
          <w:rFonts w:hint="eastAsia" w:ascii="楷体_GB2312" w:hAnsi="宋体" w:eastAsia="楷体_GB2312"/>
          <w:sz w:val="21"/>
          <w:szCs w:val="21"/>
          <w:lang w:eastAsia="zh-CN"/>
        </w:rPr>
        <w:t>是指：</w:t>
      </w:r>
      <w:r>
        <w:rPr>
          <w:rFonts w:hint="eastAsia" w:ascii="楷体_GB2312" w:hAnsi="宋体" w:eastAsia="楷体_GB2312"/>
          <w:sz w:val="21"/>
          <w:szCs w:val="21"/>
        </w:rPr>
        <w:t>100%签署地下管线保护协议</w:t>
      </w:r>
      <w:r>
        <w:rPr>
          <w:rFonts w:hint="eastAsia" w:ascii="楷体_GB2312" w:hAnsi="宋体" w:eastAsia="楷体_GB2312"/>
          <w:sz w:val="21"/>
          <w:szCs w:val="21"/>
          <w:lang w:val="en-US" w:eastAsia="zh-CN"/>
        </w:rPr>
        <w:t>，</w:t>
      </w:r>
      <w:r>
        <w:rPr>
          <w:rFonts w:hint="eastAsia" w:ascii="楷体_GB2312" w:hAnsi="宋体" w:eastAsia="楷体_GB2312"/>
          <w:sz w:val="21"/>
          <w:szCs w:val="21"/>
        </w:rPr>
        <w:t>100%查明地下管线分布情况</w:t>
      </w:r>
      <w:r>
        <w:rPr>
          <w:rFonts w:hint="eastAsia" w:ascii="楷体_GB2312" w:hAnsi="宋体" w:eastAsia="楷体_GB2312"/>
          <w:sz w:val="21"/>
          <w:szCs w:val="21"/>
          <w:lang w:eastAsia="zh-CN"/>
        </w:rPr>
        <w:t>，</w:t>
      </w:r>
      <w:r>
        <w:rPr>
          <w:rFonts w:hint="eastAsia" w:ascii="楷体_GB2312" w:hAnsi="宋体" w:eastAsia="楷体_GB2312"/>
          <w:sz w:val="21"/>
          <w:szCs w:val="21"/>
        </w:rPr>
        <w:t>100%制定地下管线保护方案</w:t>
      </w:r>
      <w:r>
        <w:rPr>
          <w:rFonts w:hint="eastAsia" w:ascii="楷体_GB2312" w:hAnsi="宋体" w:eastAsia="楷体_GB2312"/>
          <w:sz w:val="21"/>
          <w:szCs w:val="21"/>
          <w:lang w:eastAsia="zh-CN"/>
        </w:rPr>
        <w:t>，</w:t>
      </w:r>
      <w:r>
        <w:rPr>
          <w:rFonts w:hint="eastAsia" w:ascii="楷体_GB2312" w:hAnsi="宋体" w:eastAsia="楷体_GB2312"/>
          <w:sz w:val="21"/>
          <w:szCs w:val="21"/>
        </w:rPr>
        <w:t>100%配备管线工程师</w:t>
      </w:r>
      <w:r>
        <w:rPr>
          <w:rFonts w:hint="eastAsia" w:ascii="楷体_GB2312" w:hAnsi="宋体" w:eastAsia="楷体_GB2312"/>
          <w:sz w:val="21"/>
          <w:szCs w:val="21"/>
          <w:lang w:eastAsia="zh-CN"/>
        </w:rPr>
        <w:t>，</w:t>
      </w:r>
      <w:r>
        <w:rPr>
          <w:rFonts w:hint="eastAsia" w:ascii="楷体_GB2312" w:hAnsi="宋体" w:eastAsia="楷体_GB2312"/>
          <w:sz w:val="21"/>
          <w:szCs w:val="21"/>
        </w:rPr>
        <w:t>100%实施《动土令》制度</w:t>
      </w:r>
      <w:r>
        <w:rPr>
          <w:rFonts w:hint="eastAsia" w:ascii="楷体_GB2312" w:hAnsi="宋体" w:eastAsia="楷体_GB2312"/>
          <w:sz w:val="21"/>
          <w:szCs w:val="21"/>
          <w:lang w:eastAsia="zh-CN"/>
        </w:rPr>
        <w:t>，</w:t>
      </w:r>
      <w:r>
        <w:rPr>
          <w:rFonts w:hint="eastAsia" w:ascii="楷体_GB2312" w:hAnsi="宋体" w:eastAsia="楷体_GB2312"/>
          <w:sz w:val="21"/>
          <w:szCs w:val="21"/>
        </w:rPr>
        <w:t>100%做好作业技术交底。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829AF"/>
    <w:rsid w:val="025829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BZWFS"/>
    <w:uiPriority w:val="0"/>
    <w:pPr>
      <w:widowControl w:val="0"/>
      <w:spacing w:line="560" w:lineRule="exact"/>
      <w:ind w:firstLine="880" w:firstLineChars="200"/>
      <w:jc w:val="both"/>
    </w:pPr>
    <w:rPr>
      <w:rFonts w:ascii="仿宋_GB2312" w:hAnsi="仿宋_GB2312" w:eastAsia="仿宋_GB2312" w:cs="Times New Roman"/>
      <w:sz w:val="32"/>
      <w:szCs w:val="3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2019-04-10T07:09:00Z</dcterms:created>
  <dc:creator>琉璃</dc:creator>
  <cp:lastModifiedBy>琉璃</cp:lastModifiedBy>
  <dcterms:modified xsi:type="dcterms:W3CDTF">2019-04-10T07:09:51Z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