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深圳市海外创新中心评价标准</w:t>
      </w:r>
    </w:p>
    <w:bookmarkEnd w:id="0"/>
    <w:p>
      <w:pPr>
        <w:spacing w:before="156" w:beforeLines="50"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市科技行政主管部门从双边基础条件、海外运营绩效和影响力等三个方面对深圳市海外创新中心进行评价。</w:t>
      </w:r>
    </w:p>
    <w:p>
      <w:pPr>
        <w:spacing w:line="384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一、综合评价包括双边基础条件、海外运营绩效。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（一）双边基础条件。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1．双边空间（10分）；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2．双边团队（10分）；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3．双向孵化服务体系（10分）。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</w:t>
      </w:r>
      <w:r>
        <w:rPr>
          <w:rFonts w:hint="eastAsia" w:ascii="宋体" w:hAnsi="宋体"/>
          <w:spacing w:val="2"/>
          <w:sz w:val="24"/>
          <w:szCs w:val="24"/>
        </w:rPr>
        <w:t>分30分的，基础条件评价“优秀”；评分15分（含）以上的，基础条件评分</w:t>
      </w:r>
      <w:r>
        <w:rPr>
          <w:rFonts w:hint="eastAsia" w:ascii="宋体" w:hAnsi="宋体"/>
          <w:sz w:val="24"/>
          <w:szCs w:val="24"/>
        </w:rPr>
        <w:t>“合格”；评分15分以下的，基础条件评分“不合格”。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（二）海外运营绩效。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1．海外提供孵化或者加速服务的项目数量与质量（10分）；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2．海外引进或者合作项目数量与质量（20分）；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3．海外项目获得投资、股权估值情况（10分）；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评分30分（含）以上的，运营绩效评价“优秀”；评分20分（含）以上的，运营绩效评价“合格”；评分20分以下的，运营绩效评价“不合格”。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（三）综合评价等次。</w:t>
      </w:r>
    </w:p>
    <w:p>
      <w:pPr>
        <w:spacing w:line="384" w:lineRule="atLeast"/>
        <w:ind w:firstLine="480" w:firstLineChars="200"/>
        <w:rPr>
          <w:rFonts w:hint="eastAsia" w:ascii="宋体" w:hAnsi="宋体"/>
          <w:spacing w:val="-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 w:ascii="宋体" w:hAnsi="宋体"/>
          <w:spacing w:val="-3"/>
          <w:sz w:val="24"/>
          <w:szCs w:val="24"/>
        </w:rPr>
        <w:t>基础条件、运营绩效均为“优秀”的，综合评价为“优秀”，资助最高300万元。</w:t>
      </w:r>
    </w:p>
    <w:p>
      <w:pPr>
        <w:spacing w:line="384" w:lineRule="atLeast"/>
        <w:ind w:firstLine="468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pacing w:val="-3"/>
          <w:sz w:val="24"/>
          <w:szCs w:val="24"/>
        </w:rPr>
        <w:t>2．</w:t>
      </w:r>
      <w:r>
        <w:rPr>
          <w:rFonts w:hint="eastAsia" w:ascii="宋体" w:hAnsi="宋体"/>
          <w:sz w:val="24"/>
          <w:szCs w:val="24"/>
        </w:rPr>
        <w:t>基础条件、运营绩效其中一项为“优秀”的，综合评价为“良好”，资助最高200万元。</w:t>
      </w:r>
    </w:p>
    <w:p>
      <w:pPr>
        <w:spacing w:line="384" w:lineRule="atLeast"/>
        <w:ind w:firstLine="480" w:firstLineChars="200"/>
        <w:rPr>
          <w:rFonts w:hint="eastAsia" w:ascii="宋体" w:hAnsi="宋体"/>
          <w:spacing w:val="-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</w:t>
      </w:r>
      <w:r>
        <w:rPr>
          <w:rFonts w:hint="eastAsia" w:ascii="宋体" w:hAnsi="宋体"/>
          <w:spacing w:val="-3"/>
          <w:sz w:val="24"/>
          <w:szCs w:val="24"/>
        </w:rPr>
        <w:t>基础条件、运营绩效均为“合格”的，综合评价为“合格”，资助最高100万元。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4．基础条件、运营绩效其中一项“不合格”的，综合评价“不合格”，当年不予资助。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5．基础条件评价“不合格”的，评价当年给予摘牌。连续两年业务绩效“不合格”的，给予摘牌。</w:t>
      </w:r>
    </w:p>
    <w:p>
      <w:pPr>
        <w:spacing w:line="384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二、综合评价达到“合格”及以上的深圳市海外创新中心，参加影响力评价。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（一）特色活动或者项目在当地影响力（10分）；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（二）引进重大项目或者孔雀团队（10分）；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（三）组织承办深圳市相关活动和会议（10分）。</w:t>
      </w:r>
    </w:p>
    <w:p>
      <w:pPr>
        <w:spacing w:line="384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评分20分（含）以上的，影响力评价为“优秀”。影响力评价为“优秀”的，给予100万元奖励。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28BC"/>
    <w:rsid w:val="62362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2019-01-30T01:58:00Z</dcterms:created>
  <dc:creator>琉璃</dc:creator>
  <cp:lastModifiedBy>琉璃</cp:lastModifiedBy>
  <dcterms:modified xsi:type="dcterms:W3CDTF">2019-01-30T01:59:10Z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