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cs="宋体"/>
          <w:bCs/>
          <w:kern w:val="0"/>
          <w:sz w:val="36"/>
          <w:szCs w:val="36"/>
        </w:rPr>
      </w:pPr>
      <w:r>
        <w:rPr>
          <w:rFonts w:hint="eastAsia" w:ascii="宋体" w:hAnsi="宋体"/>
          <w:sz w:val="24"/>
          <w:szCs w:val="24"/>
        </w:rPr>
        <w:t>附件</w:t>
      </w:r>
      <w:bookmarkStart w:id="0" w:name="_GoBack"/>
      <w:bookmarkEnd w:id="0"/>
    </w:p>
    <w:p>
      <w:pPr>
        <w:spacing w:line="0" w:lineRule="atLeast"/>
        <w:jc w:val="center"/>
        <w:rPr>
          <w:rFonts w:hint="eastAsia" w:ascii="宋体" w:hAnsi="宋体"/>
          <w:sz w:val="36"/>
          <w:szCs w:val="36"/>
        </w:rPr>
      </w:pPr>
      <w:r>
        <w:rPr>
          <w:rFonts w:hint="eastAsia" w:ascii="宋体" w:hAnsi="宋体" w:cs="宋体"/>
          <w:bCs/>
          <w:kern w:val="0"/>
          <w:sz w:val="36"/>
          <w:szCs w:val="36"/>
        </w:rPr>
        <w:t>深圳市本级预选采购项目一览表</w:t>
      </w:r>
    </w:p>
    <w:p>
      <w:pPr>
        <w:spacing w:after="156" w:afterLines="50" w:line="0" w:lineRule="atLeast"/>
        <w:jc w:val="right"/>
        <w:rPr>
          <w:rFonts w:hint="eastAsia" w:ascii="宋体" w:hAnsi="宋体"/>
          <w:szCs w:val="21"/>
        </w:rPr>
      </w:pPr>
      <w:r>
        <w:rPr>
          <w:rFonts w:hint="eastAsia" w:ascii="宋体" w:hAnsi="宋体" w:cs="宋体"/>
          <w:bCs/>
          <w:kern w:val="0"/>
          <w:szCs w:val="21"/>
        </w:rPr>
        <w:t>更新时间：2017年12月31日</w:t>
      </w: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39"/>
        <w:gridCol w:w="980"/>
        <w:gridCol w:w="3592"/>
        <w:gridCol w:w="4680"/>
        <w:gridCol w:w="1115"/>
        <w:gridCol w:w="97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539"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8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项目名称</w:t>
            </w:r>
          </w:p>
        </w:tc>
        <w:tc>
          <w:tcPr>
            <w:tcW w:w="3592"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适用范围</w:t>
            </w:r>
          </w:p>
        </w:tc>
        <w:tc>
          <w:tcPr>
            <w:tcW w:w="468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实施规则</w:t>
            </w:r>
          </w:p>
        </w:tc>
        <w:tc>
          <w:tcPr>
            <w:tcW w:w="1115"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中标情况</w:t>
            </w:r>
          </w:p>
        </w:tc>
        <w:tc>
          <w:tcPr>
            <w:tcW w:w="972"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有效期</w:t>
            </w:r>
          </w:p>
        </w:tc>
        <w:tc>
          <w:tcPr>
            <w:tcW w:w="846"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发文号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0"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w:t>
            </w:r>
          </w:p>
        </w:tc>
        <w:tc>
          <w:tcPr>
            <w:tcW w:w="539" w:type="dxa"/>
            <w:shd w:val="clear" w:color="auto" w:fill="FFFFFF"/>
            <w:vAlign w:val="center"/>
          </w:tcPr>
          <w:p>
            <w:pPr>
              <w:widowControl/>
              <w:spacing w:line="276" w:lineRule="exact"/>
              <w:ind w:left="-63" w:leftChars="-30" w:right="-63" w:rightChars="-30"/>
              <w:jc w:val="center"/>
              <w:rPr>
                <w:rFonts w:ascii="宋体" w:hAnsi="宋体" w:cs="宋体"/>
                <w:spacing w:val="-2"/>
                <w:kern w:val="21"/>
                <w:szCs w:val="21"/>
              </w:rPr>
            </w:pPr>
            <w:r>
              <w:rPr>
                <w:rFonts w:hint="eastAsia" w:ascii="宋体" w:hAnsi="宋体" w:cs="宋体"/>
                <w:spacing w:val="-2"/>
                <w:kern w:val="21"/>
                <w:szCs w:val="21"/>
              </w:rPr>
              <w:t>电商采购</w:t>
            </w:r>
          </w:p>
        </w:tc>
        <w:tc>
          <w:tcPr>
            <w:tcW w:w="980"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spacing w:val="-4"/>
                <w:kern w:val="21"/>
                <w:szCs w:val="21"/>
              </w:rPr>
              <w:t>20种特定</w:t>
            </w:r>
            <w:r>
              <w:rPr>
                <w:rFonts w:hint="eastAsia" w:ascii="宋体" w:hAnsi="宋体" w:cs="宋体"/>
                <w:kern w:val="0"/>
                <w:szCs w:val="21"/>
              </w:rPr>
              <w:t>品目的商品</w:t>
            </w:r>
          </w:p>
        </w:tc>
        <w:tc>
          <w:tcPr>
            <w:tcW w:w="3592"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1．空调:包括壁挂式空调、柜式空调、天花式空调；2．办公自动化设备：包括台式机（含一体机）、打印机、多功能一体机、传真机、碎纸机、投影仪、扫描仪、不间断电源、手提电脑（含平板电脑）、速印机、复印机；3．电视机、摄影器材、摄像器材；4．网络设备：包括服务器、路由器、交换机、防火墙；5．办公用纸：包括复印纸、传真纸和打印纸。</w:t>
            </w:r>
          </w:p>
        </w:tc>
        <w:tc>
          <w:tcPr>
            <w:tcW w:w="4680"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1．无论预算金额大小，均应编报政府采购计划（办公用纸除外），通过市政府采购中心网上商城系统下单采购。2．预算金额在50万元以下的，采购人可在入围电商中直接下单采购，也可采取指定品牌竞价采购；50万元（含）以上200万元以下的，采取推荐3个或3个以上品牌竞价采购，也可不推荐品牌竞价；200万元（含）以上的项目，既可以公开招标，也可以采取推荐3个或3个以上品牌竞价采购。3．电商无法满足需求的，采取公开竞价。</w:t>
            </w:r>
          </w:p>
        </w:tc>
        <w:tc>
          <w:tcPr>
            <w:tcW w:w="1115"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10家电商</w:t>
            </w:r>
          </w:p>
        </w:tc>
        <w:tc>
          <w:tcPr>
            <w:tcW w:w="972"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2017.7-</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2018.6</w:t>
            </w:r>
          </w:p>
        </w:tc>
        <w:tc>
          <w:tcPr>
            <w:tcW w:w="846"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深财购</w:t>
            </w:r>
          </w:p>
          <w:p>
            <w:pPr>
              <w:widowControl/>
              <w:spacing w:line="276" w:lineRule="exact"/>
              <w:ind w:left="-105" w:leftChars="-50" w:right="-105" w:rightChars="-50"/>
              <w:rPr>
                <w:rFonts w:hint="eastAsia" w:ascii="宋体" w:hAnsi="宋体" w:cs="宋体"/>
                <w:kern w:val="0"/>
                <w:szCs w:val="21"/>
              </w:rPr>
            </w:pPr>
            <w:r>
              <w:rPr>
                <w:rFonts w:hint="eastAsia" w:ascii="宋体" w:hAnsi="宋体" w:cs="宋体"/>
                <w:kern w:val="0"/>
                <w:szCs w:val="21"/>
              </w:rPr>
              <w:t>〔2017〕</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0"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2</w:t>
            </w:r>
          </w:p>
        </w:tc>
        <w:tc>
          <w:tcPr>
            <w:tcW w:w="539" w:type="dxa"/>
            <w:vMerge w:val="restart"/>
            <w:shd w:val="clear" w:color="auto" w:fill="FFFFFF"/>
            <w:vAlign w:val="center"/>
          </w:tcPr>
          <w:p>
            <w:pPr>
              <w:spacing w:line="276" w:lineRule="exact"/>
              <w:ind w:left="-63" w:leftChars="-30" w:right="-63" w:rightChars="-30"/>
              <w:jc w:val="center"/>
              <w:rPr>
                <w:rFonts w:ascii="宋体" w:hAnsi="宋体" w:cs="宋体"/>
                <w:spacing w:val="-2"/>
                <w:kern w:val="21"/>
                <w:szCs w:val="21"/>
              </w:rPr>
            </w:pPr>
            <w:r>
              <w:rPr>
                <w:rFonts w:hint="eastAsia" w:ascii="宋体" w:hAnsi="宋体" w:cs="宋体"/>
                <w:spacing w:val="-2"/>
                <w:kern w:val="21"/>
                <w:szCs w:val="21"/>
              </w:rPr>
              <w:t>预选采购</w:t>
            </w:r>
          </w:p>
        </w:tc>
        <w:tc>
          <w:tcPr>
            <w:tcW w:w="980"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政府会议</w:t>
            </w:r>
          </w:p>
        </w:tc>
        <w:tc>
          <w:tcPr>
            <w:tcW w:w="3592"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政府会议实行定点管理。</w:t>
            </w:r>
          </w:p>
        </w:tc>
        <w:tc>
          <w:tcPr>
            <w:tcW w:w="4680"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不能够采用电视电话、网络视频召开的会议实行定点管理，各单位应当到定点酒店召开，按照协议价格结算相关费用。对于未纳入定点范围、价格低于会议综合定额标准的单位内部会议室、礼堂、宾馆、招待所、培训中心，可优先作为本单位或本系统会议场所。</w:t>
            </w:r>
          </w:p>
        </w:tc>
        <w:tc>
          <w:tcPr>
            <w:tcW w:w="1115"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86家会议定点酒店</w:t>
            </w:r>
          </w:p>
        </w:tc>
        <w:tc>
          <w:tcPr>
            <w:tcW w:w="972"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2017.4-</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2019.4</w:t>
            </w:r>
          </w:p>
        </w:tc>
        <w:tc>
          <w:tcPr>
            <w:tcW w:w="846"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深财购</w:t>
            </w:r>
          </w:p>
          <w:p>
            <w:pPr>
              <w:widowControl/>
              <w:spacing w:line="276" w:lineRule="exact"/>
              <w:ind w:left="-105" w:leftChars="-50" w:right="-105" w:rightChars="-50"/>
              <w:rPr>
                <w:rFonts w:hint="eastAsia" w:ascii="宋体" w:hAnsi="宋体" w:cs="宋体"/>
                <w:kern w:val="0"/>
                <w:szCs w:val="21"/>
              </w:rPr>
            </w:pPr>
            <w:r>
              <w:rPr>
                <w:rFonts w:hint="eastAsia" w:ascii="宋体" w:hAnsi="宋体" w:cs="宋体"/>
                <w:kern w:val="0"/>
                <w:szCs w:val="21"/>
              </w:rPr>
              <w:t>〔2017〕</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0"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3</w:t>
            </w:r>
          </w:p>
        </w:tc>
        <w:tc>
          <w:tcPr>
            <w:tcW w:w="539" w:type="dxa"/>
            <w:vMerge w:val="continue"/>
            <w:shd w:val="clear" w:color="auto" w:fill="auto"/>
            <w:vAlign w:val="center"/>
          </w:tcPr>
          <w:p>
            <w:pPr>
              <w:spacing w:line="276" w:lineRule="exact"/>
              <w:ind w:left="-63" w:leftChars="-30" w:right="-63" w:rightChars="-30"/>
              <w:jc w:val="center"/>
              <w:rPr>
                <w:rFonts w:ascii="宋体" w:hAnsi="宋体" w:cs="宋体"/>
                <w:spacing w:val="-2"/>
                <w:kern w:val="21"/>
                <w:szCs w:val="21"/>
              </w:rPr>
            </w:pPr>
          </w:p>
        </w:tc>
        <w:tc>
          <w:tcPr>
            <w:tcW w:w="980"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公务车维修</w:t>
            </w:r>
          </w:p>
        </w:tc>
        <w:tc>
          <w:tcPr>
            <w:tcW w:w="3592"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使用财政性资金购买的各类车辆，必须到定点企业进行维修。</w:t>
            </w:r>
          </w:p>
        </w:tc>
        <w:tc>
          <w:tcPr>
            <w:tcW w:w="4680"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采购人直接从定点企业中选取。</w:t>
            </w:r>
          </w:p>
        </w:tc>
        <w:tc>
          <w:tcPr>
            <w:tcW w:w="1115"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89家企业中标</w:t>
            </w:r>
          </w:p>
        </w:tc>
        <w:tc>
          <w:tcPr>
            <w:tcW w:w="972"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2015.10-</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2018.3</w:t>
            </w:r>
          </w:p>
        </w:tc>
        <w:tc>
          <w:tcPr>
            <w:tcW w:w="846" w:type="dxa"/>
            <w:shd w:val="clear" w:color="auto" w:fill="FFFFFF"/>
            <w:vAlign w:val="center"/>
          </w:tcPr>
          <w:p>
            <w:pPr>
              <w:widowControl/>
              <w:spacing w:line="264" w:lineRule="exact"/>
              <w:ind w:left="-42" w:leftChars="-20" w:right="-42" w:rightChars="-20"/>
              <w:rPr>
                <w:rFonts w:hint="eastAsia" w:ascii="宋体" w:hAnsi="宋体" w:cs="宋体"/>
                <w:kern w:val="0"/>
                <w:szCs w:val="21"/>
              </w:rPr>
            </w:pPr>
            <w:r>
              <w:rPr>
                <w:rFonts w:hint="eastAsia" w:ascii="宋体" w:hAnsi="宋体" w:cs="宋体"/>
                <w:kern w:val="0"/>
                <w:szCs w:val="21"/>
              </w:rPr>
              <w:t>深府购</w:t>
            </w:r>
          </w:p>
          <w:p>
            <w:pPr>
              <w:widowControl/>
              <w:spacing w:line="264" w:lineRule="exact"/>
              <w:ind w:left="-105" w:leftChars="-50" w:right="-105" w:rightChars="-50"/>
              <w:rPr>
                <w:rFonts w:hint="eastAsia" w:ascii="宋体" w:hAnsi="宋体" w:cs="宋体"/>
                <w:kern w:val="0"/>
                <w:szCs w:val="21"/>
              </w:rPr>
            </w:pPr>
            <w:r>
              <w:rPr>
                <w:rFonts w:hint="eastAsia" w:ascii="宋体" w:hAnsi="宋体" w:cs="宋体"/>
                <w:kern w:val="0"/>
                <w:szCs w:val="21"/>
              </w:rPr>
              <w:t>〔2015〕</w:t>
            </w:r>
          </w:p>
          <w:p>
            <w:pPr>
              <w:widowControl/>
              <w:spacing w:line="264" w:lineRule="exact"/>
              <w:ind w:left="-42" w:leftChars="-20" w:right="-42" w:rightChars="-20"/>
              <w:rPr>
                <w:rFonts w:ascii="宋体" w:hAnsi="宋体" w:cs="宋体"/>
                <w:kern w:val="0"/>
                <w:szCs w:val="21"/>
              </w:rPr>
            </w:pPr>
            <w:r>
              <w:rPr>
                <w:rFonts w:hint="eastAsia" w:ascii="宋体" w:hAnsi="宋体" w:cs="宋体"/>
                <w:kern w:val="0"/>
                <w:szCs w:val="21"/>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0"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4</w:t>
            </w:r>
          </w:p>
        </w:tc>
        <w:tc>
          <w:tcPr>
            <w:tcW w:w="539" w:type="dxa"/>
            <w:vMerge w:val="continue"/>
            <w:shd w:val="clear" w:color="auto" w:fill="FFFFFF"/>
            <w:vAlign w:val="center"/>
          </w:tcPr>
          <w:p>
            <w:pPr>
              <w:widowControl/>
              <w:spacing w:line="276" w:lineRule="exact"/>
              <w:ind w:left="-63" w:leftChars="-30" w:right="-63" w:rightChars="-30"/>
              <w:jc w:val="center"/>
              <w:rPr>
                <w:rFonts w:ascii="宋体" w:hAnsi="宋体" w:cs="宋体"/>
                <w:spacing w:val="-2"/>
                <w:kern w:val="21"/>
                <w:szCs w:val="21"/>
              </w:rPr>
            </w:pPr>
          </w:p>
        </w:tc>
        <w:tc>
          <w:tcPr>
            <w:tcW w:w="980"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公务印刷</w:t>
            </w:r>
          </w:p>
        </w:tc>
        <w:tc>
          <w:tcPr>
            <w:tcW w:w="3592"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使用财政性资金进行公务印刷的，必须到政府采购确定的预选供应商办理。</w:t>
            </w:r>
          </w:p>
        </w:tc>
        <w:tc>
          <w:tcPr>
            <w:tcW w:w="4680" w:type="dxa"/>
            <w:shd w:val="clear" w:color="auto" w:fill="FFFFFF"/>
            <w:vAlign w:val="center"/>
          </w:tcPr>
          <w:p>
            <w:pPr>
              <w:widowControl/>
              <w:spacing w:line="276" w:lineRule="exact"/>
              <w:ind w:left="-42" w:leftChars="-20" w:right="-42" w:rightChars="-20"/>
              <w:rPr>
                <w:rFonts w:ascii="宋体" w:hAnsi="宋体" w:cs="宋体"/>
                <w:kern w:val="21"/>
                <w:szCs w:val="21"/>
              </w:rPr>
            </w:pPr>
            <w:r>
              <w:rPr>
                <w:rFonts w:hint="eastAsia" w:ascii="宋体" w:hAnsi="宋体" w:cs="宋体"/>
                <w:kern w:val="21"/>
                <w:szCs w:val="21"/>
              </w:rPr>
              <w:t>预算金额在50万元以下的，不需编报集中采购计</w:t>
            </w:r>
            <w:r>
              <w:rPr>
                <w:rFonts w:hint="eastAsia" w:ascii="宋体" w:hAnsi="宋体" w:cs="宋体"/>
                <w:spacing w:val="-2"/>
                <w:kern w:val="21"/>
                <w:szCs w:val="21"/>
              </w:rPr>
              <w:t>划，直接向预选供应商采购；50万元（含）以上的，</w:t>
            </w:r>
            <w:r>
              <w:rPr>
                <w:rFonts w:hint="eastAsia" w:ascii="宋体" w:hAnsi="宋体" w:cs="宋体"/>
                <w:kern w:val="21"/>
                <w:szCs w:val="21"/>
              </w:rPr>
              <w:t>需编报集中采购计划，采购人从预选库中推荐不多于2家供应商，集采机构从投标响应的预选供应商中随机抽取5家，按照“N＋2”的数量确定报价最低的供应商范围，由采购人选择（不选最低价的需说明理由）。</w:t>
            </w:r>
          </w:p>
        </w:tc>
        <w:tc>
          <w:tcPr>
            <w:tcW w:w="1115" w:type="dxa"/>
            <w:shd w:val="clear" w:color="auto" w:fill="FFFFFF"/>
            <w:vAlign w:val="center"/>
          </w:tcPr>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104家预选供应商</w:t>
            </w:r>
          </w:p>
        </w:tc>
        <w:tc>
          <w:tcPr>
            <w:tcW w:w="972"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2016.1-</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2018.3</w:t>
            </w:r>
          </w:p>
        </w:tc>
        <w:tc>
          <w:tcPr>
            <w:tcW w:w="846" w:type="dxa"/>
            <w:shd w:val="clear" w:color="auto" w:fill="FFFFFF"/>
            <w:vAlign w:val="center"/>
          </w:tcPr>
          <w:p>
            <w:pPr>
              <w:widowControl/>
              <w:spacing w:line="276" w:lineRule="exact"/>
              <w:ind w:left="-42" w:leftChars="-20" w:right="-42" w:rightChars="-20"/>
              <w:rPr>
                <w:rFonts w:hint="eastAsia" w:ascii="宋体" w:hAnsi="宋体" w:cs="宋体"/>
                <w:kern w:val="0"/>
                <w:szCs w:val="21"/>
              </w:rPr>
            </w:pPr>
            <w:r>
              <w:rPr>
                <w:rFonts w:hint="eastAsia" w:ascii="宋体" w:hAnsi="宋体" w:cs="宋体"/>
                <w:kern w:val="0"/>
                <w:szCs w:val="21"/>
              </w:rPr>
              <w:t>深府购</w:t>
            </w:r>
          </w:p>
          <w:p>
            <w:pPr>
              <w:widowControl/>
              <w:spacing w:line="276" w:lineRule="exact"/>
              <w:ind w:left="-105" w:leftChars="-50" w:right="-105" w:rightChars="-50"/>
              <w:rPr>
                <w:rFonts w:hint="eastAsia" w:ascii="宋体" w:hAnsi="宋体" w:cs="宋体"/>
                <w:kern w:val="0"/>
                <w:szCs w:val="21"/>
              </w:rPr>
            </w:pPr>
            <w:r>
              <w:rPr>
                <w:rFonts w:hint="eastAsia" w:ascii="宋体" w:hAnsi="宋体" w:cs="宋体"/>
                <w:kern w:val="0"/>
                <w:szCs w:val="21"/>
              </w:rPr>
              <w:t>〔2016〕</w:t>
            </w:r>
          </w:p>
          <w:p>
            <w:pPr>
              <w:widowControl/>
              <w:spacing w:line="276" w:lineRule="exact"/>
              <w:ind w:left="-42" w:leftChars="-20" w:right="-42" w:rightChars="-20"/>
              <w:rPr>
                <w:rFonts w:ascii="宋体" w:hAnsi="宋体" w:cs="宋体"/>
                <w:kern w:val="0"/>
                <w:szCs w:val="21"/>
              </w:rPr>
            </w:pPr>
            <w:r>
              <w:rPr>
                <w:rFonts w:hint="eastAsia" w:ascii="宋体" w:hAnsi="宋体" w:cs="宋体"/>
                <w:kern w:val="0"/>
                <w:szCs w:val="21"/>
              </w:rPr>
              <w:t>2号</w:t>
            </w:r>
          </w:p>
        </w:tc>
      </w:tr>
    </w:tbl>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44"/>
        <w:gridCol w:w="990"/>
        <w:gridCol w:w="3572"/>
        <w:gridCol w:w="4680"/>
        <w:gridCol w:w="1107"/>
        <w:gridCol w:w="96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544"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9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项目名称</w:t>
            </w:r>
          </w:p>
        </w:tc>
        <w:tc>
          <w:tcPr>
            <w:tcW w:w="3572"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适用范围</w:t>
            </w:r>
          </w:p>
        </w:tc>
        <w:tc>
          <w:tcPr>
            <w:tcW w:w="468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实施规则</w:t>
            </w:r>
          </w:p>
        </w:tc>
        <w:tc>
          <w:tcPr>
            <w:tcW w:w="1107"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中标情况</w:t>
            </w:r>
          </w:p>
        </w:tc>
        <w:tc>
          <w:tcPr>
            <w:tcW w:w="966"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有效期</w:t>
            </w:r>
          </w:p>
        </w:tc>
        <w:tc>
          <w:tcPr>
            <w:tcW w:w="86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发文号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5</w:t>
            </w:r>
          </w:p>
        </w:tc>
        <w:tc>
          <w:tcPr>
            <w:tcW w:w="544" w:type="dxa"/>
            <w:vMerge w:val="restart"/>
            <w:shd w:val="clear" w:color="auto" w:fill="auto"/>
            <w:vAlign w:val="center"/>
          </w:tcPr>
          <w:p>
            <w:pPr>
              <w:spacing w:line="280" w:lineRule="exact"/>
              <w:ind w:left="-63" w:leftChars="-30" w:right="-63" w:rightChars="-30"/>
              <w:jc w:val="center"/>
              <w:rPr>
                <w:rFonts w:ascii="宋体" w:hAnsi="宋体" w:cs="宋体"/>
                <w:kern w:val="21"/>
                <w:szCs w:val="21"/>
              </w:rPr>
            </w:pPr>
            <w:r>
              <w:rPr>
                <w:rFonts w:hint="eastAsia" w:ascii="宋体" w:hAnsi="宋体" w:cs="宋体"/>
                <w:kern w:val="21"/>
                <w:szCs w:val="21"/>
              </w:rPr>
              <w:t>预选采购</w:t>
            </w: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涉密复印机、打印机</w:t>
            </w:r>
          </w:p>
        </w:tc>
        <w:tc>
          <w:tcPr>
            <w:tcW w:w="3572"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使用财政性资金采购涉密复印机、打印机的，必须到定点企业进行。</w:t>
            </w:r>
          </w:p>
        </w:tc>
        <w:tc>
          <w:tcPr>
            <w:tcW w:w="468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不论采购资金来源，均应编报集中采购计划，向预选供应商购买，原则上不得采购预选范围外的品牌及机型。</w:t>
            </w:r>
          </w:p>
        </w:tc>
        <w:tc>
          <w:tcPr>
            <w:tcW w:w="1107"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1家定点企业</w:t>
            </w:r>
          </w:p>
        </w:tc>
        <w:tc>
          <w:tcPr>
            <w:tcW w:w="966"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spacing w:val="-4"/>
                <w:kern w:val="21"/>
                <w:szCs w:val="21"/>
              </w:rPr>
              <w:t>采取年度</w:t>
            </w:r>
            <w:r>
              <w:rPr>
                <w:rFonts w:hint="eastAsia" w:ascii="宋体" w:hAnsi="宋体" w:cs="宋体"/>
                <w:kern w:val="21"/>
                <w:szCs w:val="21"/>
              </w:rPr>
              <w:t>审核制</w:t>
            </w:r>
          </w:p>
        </w:tc>
        <w:tc>
          <w:tcPr>
            <w:tcW w:w="860"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〔2015〕</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6</w:t>
            </w:r>
          </w:p>
        </w:tc>
        <w:tc>
          <w:tcPr>
            <w:tcW w:w="544" w:type="dxa"/>
            <w:vMerge w:val="continue"/>
            <w:shd w:val="clear" w:color="auto" w:fill="auto"/>
            <w:vAlign w:val="center"/>
          </w:tcPr>
          <w:p>
            <w:pPr>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图书</w:t>
            </w:r>
          </w:p>
        </w:tc>
        <w:tc>
          <w:tcPr>
            <w:tcW w:w="3572" w:type="dxa"/>
            <w:shd w:val="clear" w:color="auto" w:fill="FFFFFF"/>
            <w:vAlign w:val="center"/>
          </w:tcPr>
          <w:p>
            <w:pPr>
              <w:widowControl/>
              <w:spacing w:line="284" w:lineRule="exact"/>
              <w:ind w:left="-42" w:leftChars="-20" w:right="-42" w:rightChars="-20"/>
              <w:rPr>
                <w:rFonts w:ascii="宋体" w:hAnsi="宋体" w:cs="宋体"/>
                <w:kern w:val="21"/>
                <w:szCs w:val="21"/>
              </w:rPr>
            </w:pPr>
            <w:r>
              <w:rPr>
                <w:rFonts w:hint="eastAsia" w:ascii="宋体" w:hAnsi="宋体" w:cs="宋体"/>
                <w:kern w:val="21"/>
                <w:szCs w:val="21"/>
              </w:rPr>
              <w:t>年度预算金额在300万元以内的图书实行预选采购（其中采购人可预留不超过5万元图书经费自行购买图书）；年度预算金额在300万元（含）以上的，可实行预选采购，也可公开招标。图书类项目中的外文图书、电子图书、教材及配套教学辅助用书、中外文期刊，以及中小学教材不纳入预选采购范围。</w:t>
            </w:r>
          </w:p>
        </w:tc>
        <w:tc>
          <w:tcPr>
            <w:tcW w:w="4680" w:type="dxa"/>
            <w:shd w:val="clear" w:color="auto" w:fill="FFFFFF"/>
            <w:vAlign w:val="center"/>
          </w:tcPr>
          <w:p>
            <w:pPr>
              <w:widowControl/>
              <w:spacing w:line="284" w:lineRule="exact"/>
              <w:ind w:left="-42" w:leftChars="-20" w:right="-42" w:rightChars="-20"/>
              <w:rPr>
                <w:rFonts w:ascii="宋体" w:hAnsi="宋体" w:cs="宋体"/>
                <w:kern w:val="21"/>
                <w:szCs w:val="21"/>
              </w:rPr>
            </w:pPr>
            <w:r>
              <w:rPr>
                <w:rFonts w:hint="eastAsia" w:ascii="宋体" w:hAnsi="宋体" w:cs="宋体"/>
                <w:kern w:val="21"/>
                <w:szCs w:val="21"/>
              </w:rPr>
              <w:t>5万元（含）以上50万元以下，不需编报集中采购计划，直接向预选供应商采购；50万元（含）以上300万元以下，需编报集中采购计划，实行预选采购。集采机构发布竞价公告，公开预算金额，采购人从预选库中推荐不多于2家供应商，集采机构从投标响应的预选供应商中抽取8家（响应不足8家的则全部抽取，不再补抽）参与竞价，有效供应商(指对项目进行实质性响应的供应商)数量应不少于2×（N＋2）家（N为成交供应商的数量），否则项目竞价失败，由采购人对各报价供应商是否完全满足竞价文件的实质性要求进行判定后，按照“N＋2”的数量确定报价最低的供应商范围，由采购人选择（不选最低价的需说明理由）；300万元(含)以上可以公开招标，也可实行预选采购。对于在招标前不能明确要采购的具体书目，可采取资格招标方式采购。</w:t>
            </w:r>
          </w:p>
        </w:tc>
        <w:tc>
          <w:tcPr>
            <w:tcW w:w="1107"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46家预选供应商</w:t>
            </w:r>
          </w:p>
        </w:tc>
        <w:tc>
          <w:tcPr>
            <w:tcW w:w="966"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2017.4-</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2019.4</w:t>
            </w:r>
          </w:p>
        </w:tc>
        <w:tc>
          <w:tcPr>
            <w:tcW w:w="860"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深财购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〔2017〕</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7</w:t>
            </w:r>
          </w:p>
        </w:tc>
        <w:tc>
          <w:tcPr>
            <w:tcW w:w="544" w:type="dxa"/>
            <w:vMerge w:val="continue"/>
            <w:shd w:val="clear" w:color="auto" w:fill="FFFFFF"/>
            <w:vAlign w:val="center"/>
          </w:tcPr>
          <w:p>
            <w:pPr>
              <w:widowControl/>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家具</w:t>
            </w:r>
          </w:p>
        </w:tc>
        <w:tc>
          <w:tcPr>
            <w:tcW w:w="3572"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预算金额在50万元以下的家具项目，</w:t>
            </w:r>
            <w:r>
              <w:rPr>
                <w:rFonts w:hint="eastAsia" w:ascii="宋体" w:hAnsi="宋体" w:cs="宋体"/>
                <w:spacing w:val="-4"/>
                <w:kern w:val="21"/>
                <w:szCs w:val="21"/>
              </w:rPr>
              <w:t>由采购人自行采购；50万元（含）以上</w:t>
            </w:r>
            <w:r>
              <w:rPr>
                <w:rFonts w:hint="eastAsia" w:ascii="宋体" w:hAnsi="宋体" w:cs="宋体"/>
                <w:kern w:val="21"/>
                <w:szCs w:val="21"/>
              </w:rPr>
              <w:t>300万元以下的，实行预选供应商制度；300万元（含）以上实行公开招标。</w:t>
            </w:r>
          </w:p>
        </w:tc>
        <w:tc>
          <w:tcPr>
            <w:tcW w:w="4680" w:type="dxa"/>
            <w:shd w:val="clear" w:color="auto" w:fill="auto"/>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集采机构发布竞价公告，公开预算金额，采购人从预选库中推荐不多于2家供应商，集采机构从投标响应的预选供应商中抽取8家（响应不足8家的则全部抽取，不再补抽）参与竞价，有效供应商(指对项目进行实质性响应的供应商)数量应不少于2×（N＋2）家（N为成交供应商的数量），否则项目竞价失败，由采购人对各报价供应商是否完全满足竞价文件的实质性要求进行判定后，按照“N＋2”的数量确定报价最低的供应商范围，由采购人选择（不选最低价的需说明理由）。</w:t>
            </w:r>
          </w:p>
        </w:tc>
        <w:tc>
          <w:tcPr>
            <w:tcW w:w="1107"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A包(综合家具类)28家预选供应商，B包(钢制办公档案家具类)17家预选供应商</w:t>
            </w:r>
          </w:p>
        </w:tc>
        <w:tc>
          <w:tcPr>
            <w:tcW w:w="966"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2017.4-</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2019.4</w:t>
            </w:r>
          </w:p>
        </w:tc>
        <w:tc>
          <w:tcPr>
            <w:tcW w:w="860"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深财购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〔2017〕</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19号</w:t>
            </w:r>
          </w:p>
        </w:tc>
      </w:tr>
    </w:tbl>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4"/>
        <w:gridCol w:w="990"/>
        <w:gridCol w:w="3574"/>
        <w:gridCol w:w="4680"/>
        <w:gridCol w:w="1100"/>
        <w:gridCol w:w="97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544"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9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项目名称</w:t>
            </w:r>
          </w:p>
        </w:tc>
        <w:tc>
          <w:tcPr>
            <w:tcW w:w="3574"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适用范围</w:t>
            </w:r>
          </w:p>
        </w:tc>
        <w:tc>
          <w:tcPr>
            <w:tcW w:w="468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实施规则</w:t>
            </w:r>
          </w:p>
        </w:tc>
        <w:tc>
          <w:tcPr>
            <w:tcW w:w="110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中标情况</w:t>
            </w:r>
          </w:p>
        </w:tc>
        <w:tc>
          <w:tcPr>
            <w:tcW w:w="974"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有效期</w:t>
            </w:r>
          </w:p>
        </w:tc>
        <w:tc>
          <w:tcPr>
            <w:tcW w:w="859"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发文号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8</w:t>
            </w:r>
          </w:p>
        </w:tc>
        <w:tc>
          <w:tcPr>
            <w:tcW w:w="544" w:type="dxa"/>
            <w:vMerge w:val="restart"/>
            <w:shd w:val="clear" w:color="auto" w:fill="auto"/>
            <w:vAlign w:val="center"/>
          </w:tcPr>
          <w:p>
            <w:pPr>
              <w:spacing w:line="280" w:lineRule="exact"/>
              <w:ind w:left="-63" w:leftChars="-30" w:right="-63" w:rightChars="-30"/>
              <w:jc w:val="center"/>
              <w:rPr>
                <w:rFonts w:ascii="宋体" w:hAnsi="宋体" w:cs="宋体"/>
                <w:kern w:val="21"/>
                <w:szCs w:val="21"/>
              </w:rPr>
            </w:pPr>
            <w:r>
              <w:rPr>
                <w:rFonts w:hint="eastAsia" w:ascii="宋体" w:hAnsi="宋体" w:cs="宋体"/>
                <w:kern w:val="21"/>
                <w:szCs w:val="21"/>
              </w:rPr>
              <w:t>预选采购</w:t>
            </w: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资产评估</w:t>
            </w:r>
          </w:p>
        </w:tc>
        <w:tc>
          <w:tcPr>
            <w:tcW w:w="3574"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预算金额在300万元以下的资产评估项目，由采购人从预选库中自行选择供应商；300万元（含）以上公开招标。</w:t>
            </w:r>
          </w:p>
        </w:tc>
        <w:tc>
          <w:tcPr>
            <w:tcW w:w="468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由采购人从预选库中自行选择供应商。</w:t>
            </w:r>
          </w:p>
        </w:tc>
        <w:tc>
          <w:tcPr>
            <w:tcW w:w="110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28家预选供应商</w:t>
            </w:r>
          </w:p>
        </w:tc>
        <w:tc>
          <w:tcPr>
            <w:tcW w:w="974"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2017.8-</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2018.8</w:t>
            </w:r>
          </w:p>
        </w:tc>
        <w:tc>
          <w:tcPr>
            <w:tcW w:w="859"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〔2017〕</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9</w:t>
            </w:r>
          </w:p>
        </w:tc>
        <w:tc>
          <w:tcPr>
            <w:tcW w:w="544" w:type="dxa"/>
            <w:vMerge w:val="continue"/>
            <w:shd w:val="clear" w:color="auto" w:fill="auto"/>
            <w:vAlign w:val="center"/>
          </w:tcPr>
          <w:p>
            <w:pPr>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物业管理</w:t>
            </w:r>
          </w:p>
        </w:tc>
        <w:tc>
          <w:tcPr>
            <w:tcW w:w="3574"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预算金额在20万元以下的物业服务项目，由采购人自行采购；20万元（含）</w:t>
            </w:r>
            <w:r>
              <w:rPr>
                <w:rFonts w:hint="eastAsia" w:ascii="宋体" w:hAnsi="宋体" w:cs="宋体"/>
                <w:spacing w:val="-2"/>
                <w:kern w:val="21"/>
                <w:szCs w:val="21"/>
              </w:rPr>
              <w:t>以上300万元以下的，实行预选供应商</w:t>
            </w:r>
            <w:r>
              <w:rPr>
                <w:rFonts w:hint="eastAsia" w:ascii="宋体" w:hAnsi="宋体" w:cs="宋体"/>
                <w:kern w:val="21"/>
                <w:szCs w:val="21"/>
              </w:rPr>
              <w:t>制度；300万元（含）以上则公开招标。</w:t>
            </w:r>
          </w:p>
        </w:tc>
        <w:tc>
          <w:tcPr>
            <w:tcW w:w="468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采购人从预选库中推荐不多于2家供应商，集采机构从投标响应的预选供应商中抽取5家（不足5家则全部抽取），按照“N＋2”的数量确定报价最低的供应商范围，由采购人选择（不选最低价的需说明理由）。</w:t>
            </w:r>
          </w:p>
        </w:tc>
        <w:tc>
          <w:tcPr>
            <w:tcW w:w="110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54家预选供应商</w:t>
            </w:r>
          </w:p>
        </w:tc>
        <w:tc>
          <w:tcPr>
            <w:tcW w:w="974"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2015.2-</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2018.3</w:t>
            </w:r>
          </w:p>
        </w:tc>
        <w:tc>
          <w:tcPr>
            <w:tcW w:w="859"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〔2015〕</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10</w:t>
            </w:r>
          </w:p>
        </w:tc>
        <w:tc>
          <w:tcPr>
            <w:tcW w:w="544" w:type="dxa"/>
            <w:vMerge w:val="continue"/>
            <w:shd w:val="clear" w:color="auto" w:fill="FFFFFF"/>
            <w:vAlign w:val="center"/>
          </w:tcPr>
          <w:p>
            <w:pPr>
              <w:widowControl/>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保安服务</w:t>
            </w:r>
          </w:p>
        </w:tc>
        <w:tc>
          <w:tcPr>
            <w:tcW w:w="3574"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预算金额在50万元以下的保安服务项目，由采购人自行采购；50万元（含）以上300万元以下的，实行预选供应商制度；300万元（含）以上则公开招标；符合国家保密政策要求等特殊情况的项目暂不实行预选采购。</w:t>
            </w:r>
          </w:p>
        </w:tc>
        <w:tc>
          <w:tcPr>
            <w:tcW w:w="4680" w:type="dxa"/>
            <w:shd w:val="clear" w:color="auto" w:fill="auto"/>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集采机构发布竞价公告，公开预算金额，采购人从预选库中推荐不多于2家供应商，集采机构从投标响应的预选供应商中抽取8家（响应不足8家的则全部抽取，不再补抽）参与竞价，有效供应商(指对项目进行实质性响应的供应商)数量应不少于2×（N＋2）家（N为成交供应商的数量），否则项目竞价失败，由采购人对各报价供应商是否完全满足竞价文件的实质性要求进行判定后，按照“N＋2”的数量确定报价最低的供应商范围，由采购人选择（不选最低价的需说明理由）。</w:t>
            </w:r>
          </w:p>
        </w:tc>
        <w:tc>
          <w:tcPr>
            <w:tcW w:w="110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43家预选供应商</w:t>
            </w:r>
          </w:p>
        </w:tc>
        <w:tc>
          <w:tcPr>
            <w:tcW w:w="974"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2017.4-</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2019.4</w:t>
            </w:r>
          </w:p>
        </w:tc>
        <w:tc>
          <w:tcPr>
            <w:tcW w:w="859"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深财购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〔2017〕</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11</w:t>
            </w:r>
          </w:p>
        </w:tc>
        <w:tc>
          <w:tcPr>
            <w:tcW w:w="544" w:type="dxa"/>
            <w:vMerge w:val="continue"/>
            <w:shd w:val="clear" w:color="auto" w:fill="auto"/>
            <w:vAlign w:val="center"/>
          </w:tcPr>
          <w:p>
            <w:pPr>
              <w:widowControl/>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装饰修缮</w:t>
            </w:r>
          </w:p>
        </w:tc>
        <w:tc>
          <w:tcPr>
            <w:tcW w:w="3574"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spacing w:val="-4"/>
                <w:kern w:val="21"/>
                <w:szCs w:val="21"/>
              </w:rPr>
              <w:t>预算金额在100万元以下的装饰修缮项</w:t>
            </w:r>
            <w:r>
              <w:rPr>
                <w:rFonts w:hint="eastAsia" w:ascii="宋体" w:hAnsi="宋体" w:cs="宋体"/>
                <w:kern w:val="21"/>
                <w:szCs w:val="21"/>
              </w:rPr>
              <w:t>目，由采购人自行采购；100万元（含）</w:t>
            </w:r>
            <w:r>
              <w:rPr>
                <w:rFonts w:hint="eastAsia" w:ascii="宋体" w:hAnsi="宋体" w:cs="宋体"/>
                <w:spacing w:val="-2"/>
                <w:kern w:val="21"/>
                <w:szCs w:val="21"/>
              </w:rPr>
              <w:t>以上300万元以下的，实行预选供应商</w:t>
            </w:r>
            <w:r>
              <w:rPr>
                <w:rFonts w:hint="eastAsia" w:ascii="宋体" w:hAnsi="宋体" w:cs="宋体"/>
                <w:kern w:val="21"/>
                <w:szCs w:val="21"/>
              </w:rPr>
              <w:t>制度；300万元（含）以上则公开招标。</w:t>
            </w:r>
          </w:p>
        </w:tc>
        <w:tc>
          <w:tcPr>
            <w:tcW w:w="468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采取抽签定标法，即从应标响应的预选供应商中通过随机抽取产生成交供应商，中标金额为财政预算金额下浮12%。</w:t>
            </w:r>
          </w:p>
        </w:tc>
        <w:tc>
          <w:tcPr>
            <w:tcW w:w="110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133家预选供应商</w:t>
            </w:r>
          </w:p>
        </w:tc>
        <w:tc>
          <w:tcPr>
            <w:tcW w:w="974"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2015.2-</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2018.3</w:t>
            </w:r>
          </w:p>
        </w:tc>
        <w:tc>
          <w:tcPr>
            <w:tcW w:w="859"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〔2015〕</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12</w:t>
            </w:r>
          </w:p>
        </w:tc>
        <w:tc>
          <w:tcPr>
            <w:tcW w:w="544" w:type="dxa"/>
            <w:vMerge w:val="continue"/>
            <w:shd w:val="clear" w:color="auto" w:fill="auto"/>
            <w:vAlign w:val="center"/>
          </w:tcPr>
          <w:p>
            <w:pPr>
              <w:widowControl/>
              <w:spacing w:line="280" w:lineRule="exact"/>
              <w:ind w:left="-42" w:leftChars="-20" w:right="-42" w:rightChars="-20"/>
              <w:jc w:val="center"/>
              <w:rPr>
                <w:rFonts w:ascii="宋体" w:hAnsi="宋体" w:cs="宋体"/>
                <w:kern w:val="21"/>
                <w:szCs w:val="21"/>
              </w:rPr>
            </w:pPr>
          </w:p>
        </w:tc>
        <w:tc>
          <w:tcPr>
            <w:tcW w:w="99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园林绿化工程</w:t>
            </w:r>
          </w:p>
        </w:tc>
        <w:tc>
          <w:tcPr>
            <w:tcW w:w="3574"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预算金额在40万元以下的园林绿化项目，由采购人自行采购；40万元（含）以上300万元以下的，实行预选供应商制度；300万元（含）以上则公开招标。参赛项目、保密工程、种(摆)花工程等特殊示范工程暂不纳入预选采购范畴。</w:t>
            </w:r>
          </w:p>
        </w:tc>
        <w:tc>
          <w:tcPr>
            <w:tcW w:w="468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采取抽签定标法，预算金额在40万元（含）以上200万元以下的项目，采购价格按预算金额下浮12%，200万元（含）以上300万元以下的项目，采购价格按预算金额下浮15%。</w:t>
            </w:r>
          </w:p>
        </w:tc>
        <w:tc>
          <w:tcPr>
            <w:tcW w:w="1100" w:type="dxa"/>
            <w:shd w:val="clear" w:color="auto" w:fill="FFFFFF"/>
            <w:vAlign w:val="center"/>
          </w:tcPr>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93家预选供应商</w:t>
            </w:r>
          </w:p>
        </w:tc>
        <w:tc>
          <w:tcPr>
            <w:tcW w:w="974"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2014.12-</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2018.3</w:t>
            </w:r>
          </w:p>
        </w:tc>
        <w:tc>
          <w:tcPr>
            <w:tcW w:w="859" w:type="dxa"/>
            <w:shd w:val="clear" w:color="auto" w:fill="FFFFFF"/>
            <w:vAlign w:val="center"/>
          </w:tcPr>
          <w:p>
            <w:pPr>
              <w:widowControl/>
              <w:spacing w:line="28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280" w:lineRule="exact"/>
              <w:ind w:left="-105" w:leftChars="-50" w:right="-105" w:rightChars="-50"/>
              <w:rPr>
                <w:rFonts w:hint="eastAsia" w:ascii="宋体" w:hAnsi="宋体" w:cs="宋体"/>
                <w:kern w:val="21"/>
                <w:szCs w:val="21"/>
              </w:rPr>
            </w:pPr>
            <w:r>
              <w:rPr>
                <w:rFonts w:hint="eastAsia" w:ascii="宋体" w:hAnsi="宋体" w:cs="宋体"/>
                <w:kern w:val="21"/>
                <w:szCs w:val="21"/>
              </w:rPr>
              <w:t>〔2014〕</w:t>
            </w:r>
          </w:p>
          <w:p>
            <w:pPr>
              <w:widowControl/>
              <w:spacing w:line="280" w:lineRule="exact"/>
              <w:ind w:left="-42" w:leftChars="-20" w:right="-42" w:rightChars="-20"/>
              <w:rPr>
                <w:rFonts w:ascii="宋体" w:hAnsi="宋体" w:cs="宋体"/>
                <w:kern w:val="21"/>
                <w:szCs w:val="21"/>
              </w:rPr>
            </w:pPr>
            <w:r>
              <w:rPr>
                <w:rFonts w:hint="eastAsia" w:ascii="宋体" w:hAnsi="宋体" w:cs="宋体"/>
                <w:kern w:val="21"/>
                <w:szCs w:val="21"/>
              </w:rPr>
              <w:t>23号</w:t>
            </w:r>
          </w:p>
        </w:tc>
      </w:tr>
    </w:tbl>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44"/>
        <w:gridCol w:w="990"/>
        <w:gridCol w:w="3569"/>
        <w:gridCol w:w="4677"/>
        <w:gridCol w:w="1107"/>
        <w:gridCol w:w="97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544"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9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项目名称</w:t>
            </w:r>
          </w:p>
        </w:tc>
        <w:tc>
          <w:tcPr>
            <w:tcW w:w="3569"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适用范围</w:t>
            </w:r>
          </w:p>
        </w:tc>
        <w:tc>
          <w:tcPr>
            <w:tcW w:w="4677"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实施规则</w:t>
            </w:r>
          </w:p>
        </w:tc>
        <w:tc>
          <w:tcPr>
            <w:tcW w:w="1107"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中标情况</w:t>
            </w:r>
          </w:p>
        </w:tc>
        <w:tc>
          <w:tcPr>
            <w:tcW w:w="972"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有效期</w:t>
            </w:r>
          </w:p>
        </w:tc>
        <w:tc>
          <w:tcPr>
            <w:tcW w:w="860" w:type="dxa"/>
            <w:shd w:val="clear" w:color="auto" w:fill="FFFFFF"/>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发文号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13</w:t>
            </w:r>
          </w:p>
        </w:tc>
        <w:tc>
          <w:tcPr>
            <w:tcW w:w="544" w:type="dxa"/>
            <w:vMerge w:val="restart"/>
            <w:shd w:val="clear" w:color="auto" w:fill="auto"/>
            <w:vAlign w:val="center"/>
          </w:tcPr>
          <w:p>
            <w:pPr>
              <w:spacing w:line="300" w:lineRule="exact"/>
              <w:ind w:left="-63" w:leftChars="-30" w:right="-63" w:rightChars="-30"/>
              <w:jc w:val="center"/>
              <w:rPr>
                <w:rFonts w:ascii="宋体" w:hAnsi="宋体" w:cs="宋体"/>
                <w:kern w:val="0"/>
                <w:szCs w:val="21"/>
              </w:rPr>
            </w:pPr>
            <w:r>
              <w:rPr>
                <w:rFonts w:hint="eastAsia" w:ascii="宋体" w:hAnsi="宋体" w:cs="宋体"/>
                <w:kern w:val="0"/>
                <w:szCs w:val="21"/>
              </w:rPr>
              <w:t>预选采购</w:t>
            </w:r>
          </w:p>
        </w:tc>
        <w:tc>
          <w:tcPr>
            <w:tcW w:w="990"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土地储备</w:t>
            </w:r>
          </w:p>
        </w:tc>
        <w:tc>
          <w:tcPr>
            <w:tcW w:w="3569"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预算金额在20万元以下的土地储备管理项目，由采购人自行采购；20万元（含）以上的实施预选采购，资格招标项目则采取公开招标。</w:t>
            </w:r>
          </w:p>
        </w:tc>
        <w:tc>
          <w:tcPr>
            <w:tcW w:w="467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采取抽签定标法，即从投标响应的预选供应商中通过随机抽取产生成交供应商，中标金额为财政预算金额下浮27%。</w:t>
            </w:r>
          </w:p>
        </w:tc>
        <w:tc>
          <w:tcPr>
            <w:tcW w:w="110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66家预选供应商</w:t>
            </w:r>
          </w:p>
        </w:tc>
        <w:tc>
          <w:tcPr>
            <w:tcW w:w="972"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2017.4-</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2019.4</w:t>
            </w:r>
          </w:p>
        </w:tc>
        <w:tc>
          <w:tcPr>
            <w:tcW w:w="860"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深财购</w:t>
            </w:r>
          </w:p>
          <w:p>
            <w:pPr>
              <w:widowControl/>
              <w:spacing w:line="300" w:lineRule="exact"/>
              <w:ind w:left="-105" w:leftChars="-50" w:right="-105" w:rightChars="-50"/>
              <w:rPr>
                <w:rFonts w:hint="eastAsia" w:ascii="宋体" w:hAnsi="宋体" w:cs="宋体"/>
                <w:kern w:val="21"/>
                <w:szCs w:val="21"/>
              </w:rPr>
            </w:pPr>
            <w:r>
              <w:rPr>
                <w:rFonts w:hint="eastAsia" w:ascii="宋体" w:hAnsi="宋体" w:cs="宋体"/>
                <w:kern w:val="21"/>
                <w:szCs w:val="21"/>
              </w:rPr>
              <w:t>〔2017〕</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14</w:t>
            </w:r>
          </w:p>
        </w:tc>
        <w:tc>
          <w:tcPr>
            <w:tcW w:w="544" w:type="dxa"/>
            <w:vMerge w:val="continue"/>
            <w:shd w:val="clear" w:color="auto" w:fill="FFFFFF"/>
            <w:vAlign w:val="center"/>
          </w:tcPr>
          <w:p>
            <w:pPr>
              <w:widowControl/>
              <w:spacing w:line="300" w:lineRule="exact"/>
              <w:ind w:left="-63" w:leftChars="-30" w:right="-63" w:rightChars="-30"/>
              <w:jc w:val="center"/>
              <w:rPr>
                <w:rFonts w:ascii="宋体" w:hAnsi="宋体" w:cs="宋体"/>
                <w:kern w:val="0"/>
                <w:szCs w:val="21"/>
              </w:rPr>
            </w:pPr>
          </w:p>
        </w:tc>
        <w:tc>
          <w:tcPr>
            <w:tcW w:w="990"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绿地管养</w:t>
            </w:r>
          </w:p>
        </w:tc>
        <w:tc>
          <w:tcPr>
            <w:tcW w:w="3569"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预算金额在20万元以下的绿地管养项目，由采购人自行采购；20万元（含）以上的实施预选采购，资格招标项目则采取公开招标。</w:t>
            </w:r>
          </w:p>
        </w:tc>
        <w:tc>
          <w:tcPr>
            <w:tcW w:w="467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采用抽签定标法，即从投标响应的预选供应商中通过随机抽取产生成交供应商，中标金额为财政预算金额下浮5%。</w:t>
            </w:r>
          </w:p>
        </w:tc>
        <w:tc>
          <w:tcPr>
            <w:tcW w:w="110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217家预选供应商</w:t>
            </w:r>
          </w:p>
        </w:tc>
        <w:tc>
          <w:tcPr>
            <w:tcW w:w="972"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2016.1-</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2018.3</w:t>
            </w:r>
          </w:p>
        </w:tc>
        <w:tc>
          <w:tcPr>
            <w:tcW w:w="860"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300" w:lineRule="exact"/>
              <w:ind w:left="-105" w:leftChars="-50" w:right="-105" w:rightChars="-50"/>
              <w:rPr>
                <w:rFonts w:hint="eastAsia" w:ascii="宋体" w:hAnsi="宋体" w:cs="宋体"/>
                <w:kern w:val="21"/>
                <w:szCs w:val="21"/>
              </w:rPr>
            </w:pPr>
            <w:r>
              <w:rPr>
                <w:rFonts w:hint="eastAsia" w:ascii="宋体" w:hAnsi="宋体" w:cs="宋体"/>
                <w:kern w:val="21"/>
                <w:szCs w:val="21"/>
              </w:rPr>
              <w:t>〔2016〕</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15</w:t>
            </w:r>
          </w:p>
        </w:tc>
        <w:tc>
          <w:tcPr>
            <w:tcW w:w="544" w:type="dxa"/>
            <w:vMerge w:val="continue"/>
            <w:shd w:val="clear" w:color="auto" w:fill="auto"/>
            <w:vAlign w:val="center"/>
          </w:tcPr>
          <w:p>
            <w:pPr>
              <w:widowControl/>
              <w:spacing w:line="300" w:lineRule="exact"/>
              <w:ind w:left="-63" w:leftChars="-30" w:right="-63" w:rightChars="-30"/>
              <w:jc w:val="center"/>
              <w:rPr>
                <w:rFonts w:ascii="宋体" w:hAnsi="宋体" w:cs="宋体"/>
                <w:kern w:val="0"/>
                <w:szCs w:val="21"/>
              </w:rPr>
            </w:pPr>
          </w:p>
        </w:tc>
        <w:tc>
          <w:tcPr>
            <w:tcW w:w="990"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劳务派遣</w:t>
            </w:r>
          </w:p>
        </w:tc>
        <w:tc>
          <w:tcPr>
            <w:tcW w:w="3569"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预算金额在50万元以下的劳务派遣项目，由采购人自行采购；50万元（含）以上500万元以下的，由采购人从预选库中自行选择供应商；500万元（含）以上或管理费在50万元（含）以上的，在预选供应商范围内实施竞价采购；资格招标项目则采取公开招标。</w:t>
            </w:r>
          </w:p>
        </w:tc>
        <w:tc>
          <w:tcPr>
            <w:tcW w:w="467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采购人从预选库中推荐不多于2家供应商，集采机构从投标响应的预选供应商中抽取5家（不足5家则全部抽取），按照“N＋2”的数量确定报价最低的供应商范围，由采购人选择（不选最低价的需说明理由）。</w:t>
            </w:r>
          </w:p>
        </w:tc>
        <w:tc>
          <w:tcPr>
            <w:tcW w:w="110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52家预选供应商</w:t>
            </w:r>
          </w:p>
        </w:tc>
        <w:tc>
          <w:tcPr>
            <w:tcW w:w="972"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2016.1-</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2018.3</w:t>
            </w:r>
          </w:p>
        </w:tc>
        <w:tc>
          <w:tcPr>
            <w:tcW w:w="860"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深府购</w:t>
            </w:r>
          </w:p>
          <w:p>
            <w:pPr>
              <w:widowControl/>
              <w:spacing w:line="300" w:lineRule="exact"/>
              <w:ind w:left="-105" w:leftChars="-50" w:right="-105" w:rightChars="-50"/>
              <w:rPr>
                <w:rFonts w:hint="eastAsia" w:ascii="宋体" w:hAnsi="宋体" w:cs="宋体"/>
                <w:kern w:val="21"/>
                <w:szCs w:val="21"/>
              </w:rPr>
            </w:pPr>
            <w:r>
              <w:rPr>
                <w:rFonts w:hint="eastAsia" w:ascii="宋体" w:hAnsi="宋体" w:cs="宋体"/>
                <w:kern w:val="21"/>
                <w:szCs w:val="21"/>
              </w:rPr>
              <w:t>〔2016〕</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5" w:type="dxa"/>
            <w:shd w:val="clear" w:color="auto" w:fill="FFFFFF"/>
            <w:vAlign w:val="center"/>
          </w:tcPr>
          <w:p>
            <w:pPr>
              <w:widowControl/>
              <w:spacing w:line="260" w:lineRule="exact"/>
              <w:ind w:left="-42" w:leftChars="-20" w:right="-42" w:rightChars="-20"/>
              <w:jc w:val="center"/>
              <w:rPr>
                <w:rFonts w:ascii="宋体" w:hAnsi="宋体" w:cs="宋体"/>
                <w:kern w:val="0"/>
                <w:szCs w:val="21"/>
              </w:rPr>
            </w:pPr>
            <w:r>
              <w:rPr>
                <w:rFonts w:hint="eastAsia" w:ascii="宋体" w:hAnsi="宋体" w:cs="宋体"/>
                <w:kern w:val="0"/>
                <w:szCs w:val="21"/>
              </w:rPr>
              <w:t>16</w:t>
            </w:r>
          </w:p>
        </w:tc>
        <w:tc>
          <w:tcPr>
            <w:tcW w:w="544" w:type="dxa"/>
            <w:shd w:val="clear" w:color="auto" w:fill="FFFFFF"/>
            <w:vAlign w:val="center"/>
          </w:tcPr>
          <w:p>
            <w:pPr>
              <w:widowControl/>
              <w:spacing w:line="300" w:lineRule="exact"/>
              <w:ind w:left="-63" w:leftChars="-30" w:right="-63" w:rightChars="-30"/>
              <w:jc w:val="center"/>
              <w:rPr>
                <w:rFonts w:ascii="宋体" w:hAnsi="宋体" w:cs="宋体"/>
                <w:kern w:val="0"/>
                <w:szCs w:val="21"/>
              </w:rPr>
            </w:pPr>
            <w:r>
              <w:rPr>
                <w:rFonts w:hint="eastAsia" w:ascii="宋体" w:hAnsi="宋体" w:cs="宋体"/>
                <w:kern w:val="0"/>
                <w:szCs w:val="21"/>
              </w:rPr>
              <w:t>战略合作</w:t>
            </w:r>
          </w:p>
        </w:tc>
        <w:tc>
          <w:tcPr>
            <w:tcW w:w="990"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家具监理</w:t>
            </w:r>
          </w:p>
        </w:tc>
        <w:tc>
          <w:tcPr>
            <w:tcW w:w="3569"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预算金额在50万元（含）以上的家具项目应当引入第三方监理；50万元以下的家具项目，由各单位自主决定是否引入第三方监理。</w:t>
            </w:r>
          </w:p>
        </w:tc>
        <w:tc>
          <w:tcPr>
            <w:tcW w:w="467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根据项目预算金额和监理费率计算出监理费用后，在金财工程政府采购子系统编制家具监理采购计划，选择“延续合同”方式，按“深财购〔2015〕15号”有关规定办理支付。</w:t>
            </w:r>
          </w:p>
        </w:tc>
        <w:tc>
          <w:tcPr>
            <w:tcW w:w="1107" w:type="dxa"/>
            <w:shd w:val="clear" w:color="auto" w:fill="FFFFFF"/>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2家监理单位</w:t>
            </w:r>
          </w:p>
        </w:tc>
        <w:tc>
          <w:tcPr>
            <w:tcW w:w="972"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2015.6-</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2017.6</w:t>
            </w:r>
          </w:p>
        </w:tc>
        <w:tc>
          <w:tcPr>
            <w:tcW w:w="860" w:type="dxa"/>
            <w:shd w:val="clear" w:color="auto" w:fill="FFFFFF"/>
            <w:vAlign w:val="center"/>
          </w:tcPr>
          <w:p>
            <w:pPr>
              <w:widowControl/>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深财购</w:t>
            </w:r>
          </w:p>
          <w:p>
            <w:pPr>
              <w:widowControl/>
              <w:spacing w:line="300" w:lineRule="exact"/>
              <w:ind w:left="-105" w:leftChars="-50" w:right="-105" w:rightChars="-50"/>
              <w:rPr>
                <w:rFonts w:hint="eastAsia" w:ascii="宋体" w:hAnsi="宋体" w:cs="宋体"/>
                <w:kern w:val="21"/>
                <w:szCs w:val="21"/>
              </w:rPr>
            </w:pPr>
            <w:r>
              <w:rPr>
                <w:rFonts w:hint="eastAsia" w:ascii="宋体" w:hAnsi="宋体" w:cs="宋体"/>
                <w:kern w:val="21"/>
                <w:szCs w:val="21"/>
              </w:rPr>
              <w:t>〔2015〕</w:t>
            </w:r>
          </w:p>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234" w:type="dxa"/>
            <w:gridSpan w:val="8"/>
            <w:shd w:val="clear" w:color="auto" w:fill="FFFFFF"/>
            <w:vAlign w:val="center"/>
          </w:tcPr>
          <w:p>
            <w:pPr>
              <w:widowControl/>
              <w:spacing w:line="260" w:lineRule="exact"/>
              <w:ind w:left="-42" w:leftChars="-20" w:right="-42" w:rightChars="-20"/>
              <w:rPr>
                <w:rFonts w:hint="eastAsia" w:ascii="楷体_GB2312" w:hAnsi="宋体" w:eastAsia="楷体_GB2312" w:cs="宋体"/>
                <w:kern w:val="0"/>
                <w:szCs w:val="21"/>
              </w:rPr>
            </w:pPr>
            <w:r>
              <w:rPr>
                <w:rFonts w:hint="eastAsia" w:ascii="楷体_GB2312" w:hAnsi="宋体" w:eastAsia="楷体_GB2312" w:cs="宋体"/>
                <w:kern w:val="0"/>
                <w:szCs w:val="21"/>
              </w:rPr>
              <w:t>注：上述项目的有关内容请根据最新发文进行更新。</w:t>
            </w:r>
          </w:p>
        </w:tc>
      </w:tr>
    </w:tbl>
    <w:p>
      <w:pPr>
        <w:rPr>
          <w:rFonts w:hint="eastAsia"/>
          <w:szCs w:val="21"/>
        </w:rPr>
      </w:pPr>
    </w:p>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030D5"/>
    <w:rsid w:val="108030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uiPriority w:val="0"/>
    <w:rPr>
      <w:rFonts w:ascii="Times New Roman" w:hAnsi="Times New Roman"/>
      <w:kern w:val="36"/>
      <w:sz w:val="36"/>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2018-03-26T07:29:00Z</dcterms:created>
  <dc:creator>琉璃</dc:creator>
  <cp:lastModifiedBy>琉璃</cp:lastModifiedBy>
  <dcterms:modified xsi:type="dcterms:W3CDTF">2018-03-26T07:31:19Z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