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</w:t>
      </w:r>
    </w:p>
    <w:p>
      <w:pPr>
        <w:spacing w:after="156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2018年深圳市社会采购代理机构组织实施的项目</w:t>
      </w: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名称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货物类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不在政府集中采购目录内的货物类政府采购项目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A1006医疗设备、器械、A1019教学设备类项目，预算金额20万元（含）以上、250万元以下。其他货物类项目预算金额50万元（含）以上、250万元以下。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Arial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工程类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不在政府集中采购目录内的工程类政府采购项目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预算金额100万元（含）以上、250万元以下。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Arial"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Cs w:val="21"/>
              </w:rPr>
              <w:t>服务类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不在政府集中采购目录内的服务类政府采购项目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预算金额50万元（含）以上、250万元以下。</w:t>
            </w:r>
          </w:p>
        </w:tc>
      </w:tr>
    </w:tbl>
    <w:p>
      <w:pPr>
        <w:spacing w:before="156" w:beforeLines="50" w:line="300" w:lineRule="exac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说明：1.以上项目，采购人均应编报政府采购预算；</w:t>
      </w:r>
    </w:p>
    <w:p>
      <w:r>
        <w:rPr>
          <w:rFonts w:hint="eastAsia" w:ascii="楷体_GB2312" w:hAnsi="宋体" w:eastAsia="楷体_GB2312"/>
          <w:szCs w:val="21"/>
        </w:rPr>
        <w:t>2.以上项目，按照规定委托社会采购代理机构实施采购，但其中保密、应急以及重大采购项目应当由政府集中采购机构实施。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5D19"/>
    <w:rsid w:val="42FE5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2018-02-12T07:09:00Z</dcterms:created>
  <dc:creator>琉璃</dc:creator>
  <cp:lastModifiedBy>琉璃</cp:lastModifiedBy>
  <dcterms:modified xsi:type="dcterms:W3CDTF">2018-02-12T07:10:51Z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2052-10.1.0.7210</vt:lpwstr>
  </property>
</Properties>
</file>