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1A" w:rsidRDefault="0068491A" w:rsidP="00E74D97">
      <w:pPr>
        <w:spacing w:line="0" w:lineRule="atLeast"/>
        <w:jc w:val="center"/>
        <w:rPr>
          <w:rFonts w:asciiTheme="minorEastAsia" w:eastAsiaTheme="minorEastAsia" w:hAnsiTheme="minorEastAsia" w:cs="宋体"/>
          <w:bCs/>
          <w:kern w:val="0"/>
          <w:sz w:val="36"/>
          <w:szCs w:val="36"/>
        </w:rPr>
      </w:pPr>
      <w:bookmarkStart w:id="0" w:name="RANGE_A1_G10"/>
    </w:p>
    <w:p w:rsidR="006063A7" w:rsidRPr="00892548" w:rsidRDefault="006063A7" w:rsidP="00892548">
      <w:pPr>
        <w:spacing w:afterLines="50" w:after="156" w:line="0" w:lineRule="atLeast"/>
        <w:jc w:val="center"/>
        <w:rPr>
          <w:rFonts w:asciiTheme="minorEastAsia" w:eastAsiaTheme="minorEastAsia" w:hAnsiTheme="minorEastAsia" w:cs="宋体"/>
          <w:bCs/>
          <w:kern w:val="0"/>
          <w:sz w:val="36"/>
          <w:szCs w:val="36"/>
        </w:rPr>
      </w:pPr>
      <w:r w:rsidRPr="00892548">
        <w:rPr>
          <w:rFonts w:asciiTheme="minorEastAsia" w:eastAsiaTheme="minorEastAsia" w:hAnsiTheme="minorEastAsia" w:cs="宋体" w:hint="eastAsia"/>
          <w:bCs/>
          <w:kern w:val="0"/>
          <w:sz w:val="36"/>
          <w:szCs w:val="36"/>
        </w:rPr>
        <w:t>拆除重建类城市更新单元人才住房和保障性住房配建比例测算表</w:t>
      </w:r>
      <w:bookmarkEnd w:id="0"/>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74"/>
        <w:gridCol w:w="1190"/>
        <w:gridCol w:w="2380"/>
        <w:gridCol w:w="3443"/>
        <w:gridCol w:w="5088"/>
      </w:tblGrid>
      <w:tr w:rsidR="006063A7" w:rsidRPr="00892548" w:rsidTr="0068491A">
        <w:trPr>
          <w:trHeight w:val="284"/>
          <w:jc w:val="center"/>
        </w:trPr>
        <w:tc>
          <w:tcPr>
            <w:tcW w:w="559" w:type="dxa"/>
            <w:shd w:val="clear" w:color="auto" w:fill="auto"/>
            <w:vAlign w:val="center"/>
            <w:hideMark/>
          </w:tcPr>
          <w:p w:rsidR="006063A7" w:rsidRPr="00892548" w:rsidRDefault="006063A7"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序号</w:t>
            </w:r>
          </w:p>
        </w:tc>
        <w:tc>
          <w:tcPr>
            <w:tcW w:w="1764" w:type="dxa"/>
            <w:gridSpan w:val="2"/>
            <w:shd w:val="clear" w:color="auto" w:fill="auto"/>
            <w:vAlign w:val="center"/>
            <w:hideMark/>
          </w:tcPr>
          <w:p w:rsidR="006063A7" w:rsidRPr="00892548" w:rsidRDefault="006063A7"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类别</w:t>
            </w:r>
          </w:p>
        </w:tc>
        <w:tc>
          <w:tcPr>
            <w:tcW w:w="2380" w:type="dxa"/>
            <w:shd w:val="clear" w:color="auto" w:fill="auto"/>
            <w:vAlign w:val="center"/>
            <w:hideMark/>
          </w:tcPr>
          <w:p w:rsidR="006063A7" w:rsidRPr="00892548" w:rsidRDefault="006063A7"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基准比例</w:t>
            </w:r>
          </w:p>
        </w:tc>
        <w:tc>
          <w:tcPr>
            <w:tcW w:w="3443" w:type="dxa"/>
            <w:shd w:val="clear" w:color="auto" w:fill="auto"/>
            <w:vAlign w:val="center"/>
            <w:hideMark/>
          </w:tcPr>
          <w:p w:rsidR="006063A7" w:rsidRPr="00892548" w:rsidRDefault="006063A7"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核增、核减比例计算公式</w:t>
            </w:r>
          </w:p>
        </w:tc>
        <w:tc>
          <w:tcPr>
            <w:tcW w:w="5088" w:type="dxa"/>
            <w:shd w:val="clear" w:color="auto" w:fill="auto"/>
            <w:vAlign w:val="center"/>
            <w:hideMark/>
          </w:tcPr>
          <w:p w:rsidR="006063A7" w:rsidRPr="00892548" w:rsidRDefault="006063A7"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相关说明</w:t>
            </w:r>
          </w:p>
        </w:tc>
      </w:tr>
      <w:tr w:rsidR="006063A7" w:rsidRPr="00892548" w:rsidTr="0068491A">
        <w:trPr>
          <w:trHeight w:val="284"/>
          <w:jc w:val="center"/>
        </w:trPr>
        <w:tc>
          <w:tcPr>
            <w:tcW w:w="559" w:type="dxa"/>
            <w:shd w:val="clear" w:color="auto" w:fill="auto"/>
            <w:vAlign w:val="center"/>
            <w:hideMark/>
          </w:tcPr>
          <w:p w:rsidR="006063A7" w:rsidRPr="00892548" w:rsidRDefault="006063A7" w:rsidP="004C10D3">
            <w:pPr>
              <w:widowControl/>
              <w:spacing w:line="300" w:lineRule="exact"/>
              <w:ind w:leftChars="-20" w:left="-42" w:rightChars="-20" w:right="-42"/>
              <w:jc w:val="center"/>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1</w:t>
            </w:r>
          </w:p>
        </w:tc>
        <w:tc>
          <w:tcPr>
            <w:tcW w:w="1764" w:type="dxa"/>
            <w:gridSpan w:val="2"/>
            <w:shd w:val="clear" w:color="auto" w:fill="auto"/>
            <w:vAlign w:val="center"/>
            <w:hideMark/>
          </w:tcPr>
          <w:p w:rsidR="006063A7" w:rsidRPr="006860E8" w:rsidRDefault="006063A7" w:rsidP="004C10D3">
            <w:pPr>
              <w:widowControl/>
              <w:spacing w:line="300" w:lineRule="exact"/>
              <w:ind w:leftChars="-20" w:left="-42" w:rightChars="-20" w:right="-42"/>
              <w:rPr>
                <w:rFonts w:asciiTheme="minorEastAsia" w:eastAsiaTheme="minorEastAsia" w:hAnsiTheme="minorEastAsia" w:cs="宋体"/>
                <w:spacing w:val="-4"/>
                <w:kern w:val="0"/>
                <w:szCs w:val="21"/>
              </w:rPr>
            </w:pPr>
            <w:r w:rsidRPr="006860E8">
              <w:rPr>
                <w:rFonts w:asciiTheme="minorEastAsia" w:eastAsiaTheme="minorEastAsia" w:hAnsiTheme="minorEastAsia" w:cs="宋体" w:hint="eastAsia"/>
                <w:spacing w:val="-4"/>
                <w:kern w:val="0"/>
                <w:szCs w:val="21"/>
              </w:rPr>
              <w:t>项目配建基准比例</w:t>
            </w:r>
          </w:p>
        </w:tc>
        <w:tc>
          <w:tcPr>
            <w:tcW w:w="2380" w:type="dxa"/>
            <w:shd w:val="clear" w:color="auto" w:fill="auto"/>
            <w:vAlign w:val="center"/>
            <w:hideMark/>
          </w:tcPr>
          <w:p w:rsidR="006063A7" w:rsidRPr="0089254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一类地区20%；</w:t>
            </w:r>
            <w:r w:rsidRPr="00892548">
              <w:rPr>
                <w:rFonts w:asciiTheme="minorEastAsia" w:eastAsiaTheme="minorEastAsia" w:hAnsiTheme="minorEastAsia" w:cs="宋体" w:hint="eastAsia"/>
                <w:kern w:val="0"/>
                <w:szCs w:val="21"/>
              </w:rPr>
              <w:br/>
              <w:t>二类地区18%；</w:t>
            </w:r>
            <w:r w:rsidRPr="00892548">
              <w:rPr>
                <w:rFonts w:asciiTheme="minorEastAsia" w:eastAsiaTheme="minorEastAsia" w:hAnsiTheme="minorEastAsia" w:cs="宋体" w:hint="eastAsia"/>
                <w:kern w:val="0"/>
                <w:szCs w:val="21"/>
              </w:rPr>
              <w:br/>
              <w:t>三类地区</w:t>
            </w:r>
            <w:r w:rsidR="00892548">
              <w:rPr>
                <w:rFonts w:asciiTheme="minorEastAsia" w:eastAsiaTheme="minorEastAsia" w:hAnsiTheme="minorEastAsia" w:cs="宋体" w:hint="eastAsia"/>
                <w:kern w:val="0"/>
                <w:szCs w:val="21"/>
              </w:rPr>
              <w:t>15%</w:t>
            </w:r>
            <w:r w:rsidRPr="00892548">
              <w:rPr>
                <w:rFonts w:asciiTheme="minorEastAsia" w:eastAsiaTheme="minorEastAsia" w:hAnsiTheme="minorEastAsia" w:cs="宋体" w:hint="eastAsia"/>
                <w:kern w:val="0"/>
                <w:szCs w:val="21"/>
              </w:rPr>
              <w:t>。</w:t>
            </w:r>
          </w:p>
        </w:tc>
        <w:tc>
          <w:tcPr>
            <w:tcW w:w="3443" w:type="dxa"/>
            <w:shd w:val="clear" w:color="auto" w:fill="auto"/>
            <w:vAlign w:val="center"/>
            <w:hideMark/>
          </w:tcPr>
          <w:p w:rsidR="006063A7" w:rsidRPr="00892548" w:rsidRDefault="0068491A" w:rsidP="004C10D3">
            <w:pPr>
              <w:widowControl/>
              <w:spacing w:line="300" w:lineRule="exact"/>
              <w:ind w:leftChars="-20" w:left="-42" w:rightChars="-20" w:right="-42"/>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5088" w:type="dxa"/>
            <w:shd w:val="clear" w:color="auto" w:fill="auto"/>
            <w:vAlign w:val="center"/>
            <w:hideMark/>
          </w:tcPr>
          <w:p w:rsidR="006063A7" w:rsidRPr="006860E8" w:rsidRDefault="006063A7" w:rsidP="004C10D3">
            <w:pPr>
              <w:spacing w:line="300" w:lineRule="exact"/>
              <w:rPr>
                <w:rFonts w:asciiTheme="minorEastAsia" w:eastAsiaTheme="minorEastAsia" w:hAnsiTheme="minorEastAsia"/>
              </w:rPr>
            </w:pPr>
            <w:r w:rsidRPr="006860E8">
              <w:rPr>
                <w:rFonts w:asciiTheme="minorEastAsia" w:eastAsiaTheme="minorEastAsia" w:hAnsiTheme="minorEastAsia" w:hint="eastAsia"/>
              </w:rPr>
              <w:t>1．基准比例</w:t>
            </w:r>
            <m:oMath>
              <m:sSub>
                <m:sSubPr>
                  <m:ctrlPr>
                    <w:rPr>
                      <w:rFonts w:ascii="Cambria Math" w:eastAsiaTheme="minorEastAsia" w:hAnsi="Cambria Math"/>
                      <w:szCs w:val="21"/>
                    </w:rPr>
                  </m:ctrlPr>
                </m:sSubPr>
                <m:e>
                  <m:r>
                    <m:rPr>
                      <m:sty m:val="p"/>
                    </m:rPr>
                    <w:rPr>
                      <w:rFonts w:ascii="Cambria Math" w:eastAsiaTheme="minorEastAsia" w:hAnsi="Cambria Math"/>
                      <w:szCs w:val="21"/>
                    </w:rPr>
                    <m:t>R</m:t>
                  </m:r>
                </m:e>
                <m:sub>
                  <m:r>
                    <m:rPr>
                      <m:sty m:val="p"/>
                    </m:rPr>
                    <w:rPr>
                      <w:rFonts w:ascii="Cambria Math" w:eastAsiaTheme="minorEastAsia" w:hAnsi="Cambria Math"/>
                      <w:szCs w:val="21"/>
                    </w:rPr>
                    <m:t>基</m:t>
                  </m:r>
                </m:sub>
              </m:sSub>
            </m:oMath>
            <w:r w:rsidRPr="006860E8">
              <w:rPr>
                <w:rFonts w:asciiTheme="minorEastAsia" w:eastAsiaTheme="minorEastAsia" w:hAnsiTheme="minorEastAsia" w:hint="eastAsia"/>
              </w:rPr>
              <w:t>根据《深圳市城市更新项目保障性住房配建规定》（深</w:t>
            </w:r>
            <w:proofErr w:type="gramStart"/>
            <w:r w:rsidRPr="006860E8">
              <w:rPr>
                <w:rFonts w:asciiTheme="minorEastAsia" w:eastAsiaTheme="minorEastAsia" w:hAnsiTheme="minorEastAsia" w:hint="eastAsia"/>
              </w:rPr>
              <w:t>规</w:t>
            </w:r>
            <w:proofErr w:type="gramEnd"/>
            <w:r w:rsidRPr="006860E8">
              <w:rPr>
                <w:rFonts w:asciiTheme="minorEastAsia" w:eastAsiaTheme="minorEastAsia" w:hAnsiTheme="minorEastAsia" w:hint="eastAsia"/>
              </w:rPr>
              <w:t>土〔2016〕11号）确定，《关于加强和改进城市更新实施工作的暂行措施》（深府办〔2016〕38号）另有规定的，从其规定，下同。                                                                                         2．项目拆除重建范围跨多个区域的，基准比例按各区域开发建设用地面积占总开发建设用地总面积比例加权平均确定。</w:t>
            </w:r>
          </w:p>
        </w:tc>
      </w:tr>
      <w:tr w:rsidR="0068491A" w:rsidRPr="00892548" w:rsidTr="0068491A">
        <w:trPr>
          <w:trHeight w:val="284"/>
          <w:jc w:val="center"/>
        </w:trPr>
        <w:tc>
          <w:tcPr>
            <w:tcW w:w="559" w:type="dxa"/>
            <w:vMerge w:val="restart"/>
            <w:shd w:val="clear" w:color="auto" w:fill="auto"/>
            <w:vAlign w:val="center"/>
            <w:hideMark/>
          </w:tcPr>
          <w:p w:rsidR="006063A7" w:rsidRPr="00892548" w:rsidRDefault="006063A7" w:rsidP="004C10D3">
            <w:pPr>
              <w:widowControl/>
              <w:spacing w:line="300" w:lineRule="exact"/>
              <w:ind w:leftChars="-20" w:left="-42" w:rightChars="-20" w:right="-42"/>
              <w:jc w:val="center"/>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2</w:t>
            </w:r>
          </w:p>
        </w:tc>
        <w:tc>
          <w:tcPr>
            <w:tcW w:w="574" w:type="dxa"/>
            <w:vMerge w:val="restart"/>
            <w:shd w:val="clear" w:color="auto" w:fill="auto"/>
            <w:vAlign w:val="center"/>
            <w:hideMark/>
          </w:tcPr>
          <w:p w:rsidR="006063A7" w:rsidRPr="00892548" w:rsidRDefault="006063A7" w:rsidP="004C10D3">
            <w:pPr>
              <w:widowControl/>
              <w:spacing w:line="300" w:lineRule="exact"/>
              <w:ind w:leftChars="-20" w:left="-42" w:rightChars="-20" w:right="-42"/>
              <w:jc w:val="center"/>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核减</w:t>
            </w:r>
          </w:p>
        </w:tc>
        <w:tc>
          <w:tcPr>
            <w:tcW w:w="1190" w:type="dxa"/>
            <w:shd w:val="clear" w:color="auto" w:fill="auto"/>
            <w:vAlign w:val="center"/>
            <w:hideMark/>
          </w:tcPr>
          <w:p w:rsidR="006063A7" w:rsidRPr="0089254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城中村用地</w:t>
            </w:r>
          </w:p>
        </w:tc>
        <w:tc>
          <w:tcPr>
            <w:tcW w:w="2380" w:type="dxa"/>
            <w:shd w:val="clear" w:color="auto" w:fill="auto"/>
            <w:vAlign w:val="center"/>
            <w:hideMark/>
          </w:tcPr>
          <w:p w:rsidR="006063A7" w:rsidRPr="0089254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一类地区8%；</w:t>
            </w:r>
            <w:r w:rsidRPr="00892548">
              <w:rPr>
                <w:rFonts w:asciiTheme="minorEastAsia" w:eastAsiaTheme="minorEastAsia" w:hAnsiTheme="minorEastAsia" w:cs="宋体" w:hint="eastAsia"/>
                <w:kern w:val="0"/>
                <w:szCs w:val="21"/>
              </w:rPr>
              <w:br/>
              <w:t>二、三类地区5%。</w:t>
            </w:r>
          </w:p>
        </w:tc>
        <w:tc>
          <w:tcPr>
            <w:tcW w:w="3443" w:type="dxa"/>
            <w:shd w:val="clear" w:color="auto" w:fill="auto"/>
            <w:vAlign w:val="center"/>
            <w:hideMark/>
          </w:tcPr>
          <w:p w:rsidR="006063A7" w:rsidRPr="00892548" w:rsidRDefault="0064319C" w:rsidP="004C10D3">
            <w:pPr>
              <w:widowControl/>
              <w:spacing w:line="300" w:lineRule="exact"/>
              <w:ind w:leftChars="-20" w:left="-42" w:rightChars="-20" w:right="-42"/>
              <w:jc w:val="center"/>
              <w:rPr>
                <w:rFonts w:asciiTheme="minorEastAsia" w:eastAsiaTheme="minorEastAsia" w:hAnsiTheme="minorEastAsia" w:cs="宋体"/>
                <w:bCs/>
                <w:kern w:val="0"/>
                <w:szCs w:val="21"/>
              </w:rPr>
            </w:pP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城</m:t>
                  </m:r>
                </m:sub>
              </m:sSub>
              <m:r>
                <w:rPr>
                  <w:rFonts w:ascii="Cambria Math" w:eastAsiaTheme="minorEastAsia" w:hAnsi="Cambria Math" w:cs="Cambria Math"/>
                  <w:kern w:val="0"/>
                  <w:szCs w:val="21"/>
                </w:rPr>
                <m:t>=</m:t>
              </m:r>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城</m:t>
                  </m:r>
                </m:sub>
              </m:sSub>
            </m:oMath>
            <w:r w:rsidR="006063A7" w:rsidRPr="00892548">
              <w:rPr>
                <w:rFonts w:asciiTheme="minorEastAsia" w:eastAsiaTheme="minorEastAsia" w:hAnsiTheme="minorEastAsia" w:cs="宋体" w:hint="eastAsia"/>
                <w:bCs/>
                <w:kern w:val="0"/>
                <w:szCs w:val="21"/>
              </w:rPr>
              <w:t>*</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城</m:t>
                  </m:r>
                </m:sub>
              </m:sSub>
            </m:oMath>
            <w:r w:rsidR="006063A7" w:rsidRPr="00892548">
              <w:rPr>
                <w:rFonts w:asciiTheme="minorEastAsia" w:eastAsiaTheme="minorEastAsia" w:hAnsiTheme="minorEastAsia" w:cs="宋体" w:hint="eastAsia"/>
                <w:bCs/>
                <w:kern w:val="0"/>
                <w:szCs w:val="21"/>
              </w:rPr>
              <w:t>/</w:t>
            </w:r>
            <m:oMath>
              <m:r>
                <m:rPr>
                  <m:sty m:val="p"/>
                </m:rPr>
                <w:rPr>
                  <w:rFonts w:ascii="Cambria Math" w:eastAsiaTheme="minorEastAsia" w:hAnsi="Cambria Math" w:cs="Cambria Math"/>
                  <w:kern w:val="0"/>
                  <w:szCs w:val="21"/>
                </w:rPr>
                <m:t xml:space="preserve"> S</m:t>
              </m:r>
            </m:oMath>
          </w:p>
        </w:tc>
        <w:tc>
          <w:tcPr>
            <w:tcW w:w="5088" w:type="dxa"/>
            <w:shd w:val="clear" w:color="auto" w:fill="auto"/>
            <w:vAlign w:val="center"/>
            <w:hideMark/>
          </w:tcPr>
          <w:p w:rsidR="006063A7" w:rsidRPr="006860E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6860E8">
              <w:rPr>
                <w:rFonts w:asciiTheme="minorEastAsia" w:eastAsiaTheme="minorEastAsia" w:hAnsiTheme="minorEastAsia" w:cs="宋体" w:hint="eastAsia"/>
                <w:kern w:val="0"/>
                <w:szCs w:val="21"/>
              </w:rPr>
              <w:t>1．</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城</m:t>
                  </m:r>
                </m:sub>
              </m:sSub>
            </m:oMath>
            <w:r w:rsidRPr="006860E8">
              <w:rPr>
                <w:rFonts w:asciiTheme="minorEastAsia" w:eastAsiaTheme="minorEastAsia" w:hAnsiTheme="minorEastAsia" w:cs="宋体" w:hint="eastAsia"/>
                <w:kern w:val="0"/>
                <w:szCs w:val="21"/>
              </w:rPr>
              <w:t>指根据城中村用地面积确定的核减比例。</w:t>
            </w:r>
          </w:p>
          <w:p w:rsidR="006063A7" w:rsidRPr="006860E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6860E8">
              <w:rPr>
                <w:rFonts w:asciiTheme="minorEastAsia" w:eastAsiaTheme="minorEastAsia" w:hAnsiTheme="minorEastAsia" w:cs="宋体" w:hint="eastAsia"/>
                <w:kern w:val="0"/>
                <w:szCs w:val="21"/>
              </w:rPr>
              <w:t>2．</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城</m:t>
                  </m:r>
                </m:sub>
              </m:sSub>
            </m:oMath>
            <w:r w:rsidRPr="006860E8">
              <w:rPr>
                <w:rFonts w:asciiTheme="minorEastAsia" w:eastAsiaTheme="minorEastAsia" w:hAnsiTheme="minorEastAsia" w:cs="宋体" w:hint="eastAsia"/>
                <w:kern w:val="0"/>
                <w:szCs w:val="21"/>
              </w:rPr>
              <w:t>指因存在城中村用地而产生的核减基数。项目拆除重建范围跨多个区域、涉不同核减基数的，</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城</m:t>
                  </m:r>
                </m:sub>
              </m:sSub>
            </m:oMath>
            <w:r w:rsidRPr="006860E8">
              <w:rPr>
                <w:rFonts w:asciiTheme="minorEastAsia" w:eastAsiaTheme="minorEastAsia" w:hAnsiTheme="minorEastAsia" w:cs="宋体" w:hint="eastAsia"/>
                <w:kern w:val="0"/>
                <w:szCs w:val="21"/>
              </w:rPr>
              <w:t>按各区域开发建设用地面积占总开发建设用地总面积比例加权平均确定。</w:t>
            </w:r>
          </w:p>
          <w:p w:rsidR="006063A7" w:rsidRPr="006860E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6860E8">
              <w:rPr>
                <w:rFonts w:asciiTheme="minorEastAsia" w:eastAsiaTheme="minorEastAsia" w:hAnsiTheme="minorEastAsia" w:cs="宋体" w:hint="eastAsia"/>
                <w:kern w:val="0"/>
                <w:szCs w:val="21"/>
              </w:rPr>
              <w:t>3．</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城</m:t>
                  </m:r>
                </m:sub>
              </m:sSub>
            </m:oMath>
            <w:r w:rsidRPr="006860E8">
              <w:rPr>
                <w:rFonts w:asciiTheme="minorEastAsia" w:eastAsiaTheme="minorEastAsia" w:hAnsiTheme="minorEastAsia" w:cs="宋体" w:hint="eastAsia"/>
                <w:kern w:val="0"/>
                <w:szCs w:val="21"/>
              </w:rPr>
              <w:t>指拆除范围内城中村用地面积。</w:t>
            </w:r>
          </w:p>
          <w:p w:rsidR="006063A7" w:rsidRPr="006860E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6860E8">
              <w:rPr>
                <w:rFonts w:asciiTheme="minorEastAsia" w:eastAsiaTheme="minorEastAsia" w:hAnsiTheme="minorEastAsia" w:cs="宋体" w:hint="eastAsia"/>
                <w:kern w:val="0"/>
                <w:szCs w:val="21"/>
              </w:rPr>
              <w:t>4．</w:t>
            </w:r>
            <m:oMath>
              <m:r>
                <m:rPr>
                  <m:sty m:val="p"/>
                </m:rPr>
                <w:rPr>
                  <w:rFonts w:ascii="Cambria Math" w:eastAsiaTheme="minorEastAsia" w:hAnsi="Cambria Math" w:cs="Cambria Math"/>
                  <w:kern w:val="0"/>
                  <w:szCs w:val="21"/>
                </w:rPr>
                <m:t>S</m:t>
              </m:r>
            </m:oMath>
            <w:r w:rsidRPr="006860E8">
              <w:rPr>
                <w:rFonts w:asciiTheme="minorEastAsia" w:eastAsiaTheme="minorEastAsia" w:hAnsiTheme="minorEastAsia" w:cs="宋体" w:hint="eastAsia"/>
                <w:kern w:val="0"/>
                <w:szCs w:val="21"/>
              </w:rPr>
              <w:t>指开发建设用地面积，包含按规定纳入的国有未出让零星用地面积，下同。</w:t>
            </w:r>
          </w:p>
          <w:p w:rsidR="006063A7" w:rsidRPr="006860E8" w:rsidRDefault="006063A7" w:rsidP="00523DB9">
            <w:pPr>
              <w:widowControl/>
              <w:spacing w:afterLines="20" w:after="62" w:line="300" w:lineRule="exact"/>
              <w:ind w:leftChars="-20" w:left="-42" w:rightChars="-20" w:right="-42"/>
              <w:rPr>
                <w:rFonts w:asciiTheme="minorEastAsia" w:eastAsiaTheme="minorEastAsia" w:hAnsiTheme="minorEastAsia" w:cs="宋体"/>
                <w:kern w:val="0"/>
                <w:szCs w:val="21"/>
              </w:rPr>
            </w:pPr>
            <w:r w:rsidRPr="006860E8">
              <w:rPr>
                <w:rFonts w:asciiTheme="minorEastAsia" w:eastAsiaTheme="minorEastAsia" w:hAnsiTheme="minorEastAsia" w:cs="宋体" w:hint="eastAsia"/>
                <w:kern w:val="0"/>
                <w:szCs w:val="21"/>
              </w:rPr>
              <w:t>5．拆除范围内城中村用地面积大于改造后开发建设用地总面积的，</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城</m:t>
                  </m:r>
                </m:sub>
              </m:sSub>
              <m:r>
                <w:rPr>
                  <w:rFonts w:ascii="Cambria Math" w:eastAsiaTheme="minorEastAsia" w:hAnsi="Cambria Math" w:cs="Cambria Math"/>
                  <w:kern w:val="0"/>
                  <w:szCs w:val="21"/>
                </w:rPr>
                <m:t>=</m:t>
              </m:r>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城</m:t>
                  </m:r>
                </m:sub>
              </m:sSub>
            </m:oMath>
            <w:r w:rsidRPr="006860E8">
              <w:rPr>
                <w:rFonts w:asciiTheme="minorEastAsia" w:eastAsiaTheme="minorEastAsia" w:hAnsiTheme="minorEastAsia" w:cs="宋体" w:hint="eastAsia"/>
                <w:kern w:val="0"/>
                <w:szCs w:val="21"/>
              </w:rPr>
              <w:t>。</w:t>
            </w:r>
            <w:bookmarkStart w:id="1" w:name="_GoBack"/>
            <w:bookmarkEnd w:id="1"/>
          </w:p>
        </w:tc>
      </w:tr>
      <w:tr w:rsidR="0068491A" w:rsidRPr="00892548" w:rsidTr="0068491A">
        <w:trPr>
          <w:trHeight w:val="284"/>
          <w:jc w:val="center"/>
        </w:trPr>
        <w:tc>
          <w:tcPr>
            <w:tcW w:w="559" w:type="dxa"/>
            <w:vMerge/>
            <w:vAlign w:val="center"/>
            <w:hideMark/>
          </w:tcPr>
          <w:p w:rsidR="006063A7" w:rsidRPr="00892548" w:rsidRDefault="006063A7" w:rsidP="004C10D3">
            <w:pPr>
              <w:widowControl/>
              <w:spacing w:line="300" w:lineRule="exact"/>
              <w:ind w:leftChars="-20" w:left="-42" w:rightChars="-20" w:right="-42"/>
              <w:jc w:val="center"/>
              <w:rPr>
                <w:rFonts w:asciiTheme="minorEastAsia" w:eastAsiaTheme="minorEastAsia" w:hAnsiTheme="minorEastAsia" w:cs="宋体"/>
                <w:kern w:val="0"/>
                <w:szCs w:val="21"/>
              </w:rPr>
            </w:pPr>
          </w:p>
        </w:tc>
        <w:tc>
          <w:tcPr>
            <w:tcW w:w="574" w:type="dxa"/>
            <w:vMerge/>
            <w:vAlign w:val="center"/>
            <w:hideMark/>
          </w:tcPr>
          <w:p w:rsidR="006063A7" w:rsidRPr="00892548" w:rsidRDefault="006063A7" w:rsidP="004C10D3">
            <w:pPr>
              <w:widowControl/>
              <w:spacing w:line="300" w:lineRule="exact"/>
              <w:ind w:leftChars="-20" w:left="-42" w:rightChars="-20" w:right="-42"/>
              <w:rPr>
                <w:rFonts w:asciiTheme="minorEastAsia" w:eastAsiaTheme="minorEastAsia" w:hAnsiTheme="minorEastAsia" w:cs="宋体"/>
                <w:kern w:val="0"/>
                <w:szCs w:val="21"/>
              </w:rPr>
            </w:pPr>
          </w:p>
        </w:tc>
        <w:tc>
          <w:tcPr>
            <w:tcW w:w="1190" w:type="dxa"/>
            <w:shd w:val="clear" w:color="auto" w:fill="auto"/>
            <w:vAlign w:val="center"/>
            <w:hideMark/>
          </w:tcPr>
          <w:p w:rsidR="006063A7" w:rsidRPr="0089254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土地移交率</w:t>
            </w:r>
          </w:p>
        </w:tc>
        <w:tc>
          <w:tcPr>
            <w:tcW w:w="2380" w:type="dxa"/>
            <w:shd w:val="clear" w:color="auto" w:fill="auto"/>
            <w:vAlign w:val="center"/>
            <w:hideMark/>
          </w:tcPr>
          <w:p w:rsidR="006063A7" w:rsidRPr="00892548" w:rsidRDefault="006063A7" w:rsidP="004C10D3">
            <w:pPr>
              <w:widowControl/>
              <w:spacing w:line="300" w:lineRule="exact"/>
              <w:ind w:leftChars="-20" w:left="-42" w:rightChars="-20" w:right="-42"/>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土地移交率超过30%但不超过40%，人才住房和保障性住房比例核减2%；</w:t>
            </w:r>
            <w:r w:rsidRPr="00892548">
              <w:rPr>
                <w:rFonts w:asciiTheme="minorEastAsia" w:eastAsiaTheme="minorEastAsia" w:hAnsiTheme="minorEastAsia" w:cs="宋体" w:hint="eastAsia"/>
                <w:kern w:val="0"/>
                <w:szCs w:val="21"/>
              </w:rPr>
              <w:br/>
              <w:t>土地移交率超过40%，人才住房和保障性住房比例核减3%。</w:t>
            </w:r>
          </w:p>
        </w:tc>
        <w:tc>
          <w:tcPr>
            <w:tcW w:w="3443" w:type="dxa"/>
            <w:shd w:val="clear" w:color="auto" w:fill="auto"/>
            <w:vAlign w:val="center"/>
            <w:hideMark/>
          </w:tcPr>
          <w:p w:rsidR="006063A7" w:rsidRPr="00892548" w:rsidRDefault="0064319C" w:rsidP="004C10D3">
            <w:pPr>
              <w:widowControl/>
              <w:spacing w:line="300" w:lineRule="exact"/>
              <w:ind w:leftChars="-20" w:left="-42" w:rightChars="-20" w:right="-42"/>
              <w:jc w:val="center"/>
              <w:rPr>
                <w:rFonts w:asciiTheme="minorEastAsia" w:eastAsiaTheme="minorEastAsia" w:hAnsiTheme="minorEastAsia" w:cs="宋体"/>
                <w:bCs/>
                <w:kern w:val="0"/>
                <w:szCs w:val="21"/>
              </w:rPr>
            </w:pP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移</m:t>
                  </m:r>
                </m:sub>
              </m:sSub>
              <m:r>
                <w:rPr>
                  <w:rFonts w:ascii="Cambria Math" w:eastAsiaTheme="minorEastAsia" w:hAnsi="Cambria Math" w:cs="Cambria Math"/>
                  <w:kern w:val="0"/>
                  <w:szCs w:val="21"/>
                </w:rPr>
                <m:t xml:space="preserve">= </m:t>
              </m:r>
            </m:oMath>
            <w:r w:rsidR="006063A7" w:rsidRPr="00892548">
              <w:rPr>
                <w:rFonts w:asciiTheme="minorEastAsia" w:eastAsiaTheme="minorEastAsia" w:hAnsiTheme="minorEastAsia" w:cs="宋体" w:hint="eastAsia"/>
                <w:bCs/>
                <w:kern w:val="0"/>
                <w:szCs w:val="21"/>
              </w:rPr>
              <w:t>2%或3%</w:t>
            </w:r>
          </w:p>
        </w:tc>
        <w:tc>
          <w:tcPr>
            <w:tcW w:w="5088" w:type="dxa"/>
            <w:shd w:val="clear" w:color="auto" w:fill="auto"/>
            <w:vAlign w:val="center"/>
            <w:hideMark/>
          </w:tcPr>
          <w:p w:rsidR="006063A7" w:rsidRPr="00AB7139" w:rsidRDefault="006063A7" w:rsidP="00BE1F8B">
            <w:pPr>
              <w:widowControl/>
              <w:spacing w:line="300" w:lineRule="exact"/>
              <w:ind w:leftChars="-20" w:left="-42" w:rightChars="-20" w:right="-42"/>
              <w:rPr>
                <w:rFonts w:asciiTheme="minorEastAsia" w:eastAsiaTheme="minorEastAsia" w:hAnsiTheme="minorEastAsia" w:cs="宋体"/>
                <w:szCs w:val="21"/>
              </w:rPr>
            </w:pPr>
            <w:r w:rsidRPr="006860E8">
              <w:rPr>
                <w:rFonts w:asciiTheme="minorEastAsia" w:eastAsiaTheme="minorEastAsia" w:hAnsiTheme="minorEastAsia" w:cs="宋体" w:hint="eastAsia"/>
                <w:kern w:val="0"/>
                <w:szCs w:val="21"/>
              </w:rPr>
              <w:t>1．</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移</m:t>
                  </m:r>
                </m:sub>
              </m:sSub>
            </m:oMath>
            <w:r w:rsidRPr="006860E8">
              <w:rPr>
                <w:rFonts w:asciiTheme="minorEastAsia" w:eastAsiaTheme="minorEastAsia" w:hAnsiTheme="minorEastAsia" w:cs="宋体" w:hint="eastAsia"/>
                <w:kern w:val="0"/>
                <w:szCs w:val="21"/>
              </w:rPr>
              <w:t>指根据土地移交率确定的核减比例。</w:t>
            </w:r>
            <w:r w:rsidRPr="006860E8">
              <w:rPr>
                <w:rFonts w:asciiTheme="minorEastAsia" w:eastAsiaTheme="minorEastAsia" w:hAnsiTheme="minorEastAsia" w:cs="宋体" w:hint="eastAsia"/>
                <w:kern w:val="0"/>
                <w:szCs w:val="21"/>
              </w:rPr>
              <w:br/>
              <w:t>2．土地移交率</w:t>
            </w:r>
            <w:r w:rsidR="005D2DE6" w:rsidRPr="006860E8">
              <w:rPr>
                <w:rFonts w:asciiTheme="minorEastAsia" w:eastAsiaTheme="minorEastAsia" w:hAnsiTheme="minorEastAsia" w:cs="宋体"/>
                <w:kern w:val="0"/>
                <w:szCs w:val="21"/>
              </w:rPr>
              <w:t>=</w:t>
            </w:r>
            <w:r w:rsidRPr="006860E8">
              <w:rPr>
                <w:rFonts w:asciiTheme="minorEastAsia" w:eastAsiaTheme="minorEastAsia" w:hAnsiTheme="minorEastAsia" w:cs="宋体" w:hint="eastAsia"/>
                <w:kern w:val="0"/>
                <w:szCs w:val="21"/>
              </w:rPr>
              <w:t>（拆除范围用地面积</w:t>
            </w:r>
            <w:r w:rsidR="005D2DE6" w:rsidRPr="006860E8">
              <w:rPr>
                <w:rFonts w:asciiTheme="minorEastAsia" w:eastAsiaTheme="minorEastAsia" w:hAnsiTheme="minorEastAsia" w:cs="宋体"/>
                <w:kern w:val="0"/>
                <w:szCs w:val="21"/>
              </w:rPr>
              <w:t>+</w:t>
            </w:r>
            <w:r w:rsidRPr="006860E8">
              <w:rPr>
                <w:rFonts w:asciiTheme="minorEastAsia" w:eastAsiaTheme="minorEastAsia" w:hAnsiTheme="minorEastAsia" w:cs="宋体" w:hint="eastAsia"/>
                <w:kern w:val="0"/>
                <w:szCs w:val="21"/>
              </w:rPr>
              <w:t>纳入的拆除范围外零星用地面积</w:t>
            </w:r>
            <w:r w:rsidR="005D2DE6" w:rsidRPr="006860E8">
              <w:rPr>
                <w:rFonts w:ascii="MS Gothic" w:eastAsia="MS Gothic" w:hAnsi="MS Gothic" w:cs="MS Gothic" w:hint="eastAsia"/>
                <w:kern w:val="0"/>
                <w:szCs w:val="21"/>
              </w:rPr>
              <w:t>−</w:t>
            </w:r>
            <w:r w:rsidRPr="006860E8">
              <w:rPr>
                <w:rFonts w:asciiTheme="minorEastAsia" w:eastAsiaTheme="minorEastAsia" w:hAnsiTheme="minorEastAsia" w:cs="宋体" w:hint="eastAsia"/>
                <w:kern w:val="0"/>
                <w:szCs w:val="21"/>
              </w:rPr>
              <w:t>开发建设用地面积）/拆除范围用地面积×100%</w:t>
            </w:r>
          </w:p>
        </w:tc>
      </w:tr>
    </w:tbl>
    <w:p w:rsidR="004C10D3" w:rsidRDefault="004C10D3"/>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74"/>
        <w:gridCol w:w="1302"/>
        <w:gridCol w:w="980"/>
        <w:gridCol w:w="4675"/>
        <w:gridCol w:w="5144"/>
      </w:tblGrid>
      <w:tr w:rsidR="004C10D3" w:rsidRPr="00892548" w:rsidTr="0068491A">
        <w:trPr>
          <w:trHeight w:val="284"/>
          <w:jc w:val="center"/>
        </w:trPr>
        <w:tc>
          <w:tcPr>
            <w:tcW w:w="559" w:type="dxa"/>
            <w:shd w:val="clear" w:color="auto" w:fill="auto"/>
            <w:vAlign w:val="center"/>
          </w:tcPr>
          <w:p w:rsidR="004C10D3" w:rsidRPr="00892548" w:rsidRDefault="004C10D3"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序号</w:t>
            </w:r>
          </w:p>
        </w:tc>
        <w:tc>
          <w:tcPr>
            <w:tcW w:w="1876" w:type="dxa"/>
            <w:gridSpan w:val="2"/>
            <w:shd w:val="clear" w:color="auto" w:fill="auto"/>
            <w:vAlign w:val="center"/>
          </w:tcPr>
          <w:p w:rsidR="004C10D3" w:rsidRPr="00892548" w:rsidRDefault="004C10D3"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类别</w:t>
            </w:r>
          </w:p>
        </w:tc>
        <w:tc>
          <w:tcPr>
            <w:tcW w:w="980" w:type="dxa"/>
            <w:shd w:val="clear" w:color="auto" w:fill="auto"/>
            <w:vAlign w:val="center"/>
          </w:tcPr>
          <w:p w:rsidR="004C10D3" w:rsidRPr="00892548" w:rsidRDefault="004C10D3"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基准比例</w:t>
            </w:r>
          </w:p>
        </w:tc>
        <w:tc>
          <w:tcPr>
            <w:tcW w:w="4675" w:type="dxa"/>
            <w:shd w:val="clear" w:color="auto" w:fill="auto"/>
            <w:vAlign w:val="center"/>
          </w:tcPr>
          <w:p w:rsidR="004C10D3" w:rsidRPr="00892548" w:rsidRDefault="004C10D3"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核增、核减比例计算公式</w:t>
            </w:r>
          </w:p>
        </w:tc>
        <w:tc>
          <w:tcPr>
            <w:tcW w:w="5144" w:type="dxa"/>
            <w:shd w:val="clear" w:color="auto" w:fill="auto"/>
            <w:vAlign w:val="center"/>
          </w:tcPr>
          <w:p w:rsidR="004C10D3" w:rsidRPr="00892548" w:rsidRDefault="004C10D3" w:rsidP="004C10D3">
            <w:pPr>
              <w:widowControl/>
              <w:spacing w:line="300" w:lineRule="exact"/>
              <w:ind w:leftChars="-20" w:left="-42" w:rightChars="-20" w:right="-42"/>
              <w:jc w:val="center"/>
              <w:rPr>
                <w:rFonts w:ascii="黑体" w:eastAsia="黑体" w:hAnsi="黑体" w:cs="宋体"/>
                <w:bCs/>
                <w:kern w:val="0"/>
                <w:szCs w:val="21"/>
              </w:rPr>
            </w:pPr>
            <w:r w:rsidRPr="00892548">
              <w:rPr>
                <w:rFonts w:ascii="黑体" w:eastAsia="黑体" w:hAnsi="黑体" w:cs="宋体" w:hint="eastAsia"/>
                <w:bCs/>
                <w:kern w:val="0"/>
                <w:szCs w:val="21"/>
              </w:rPr>
              <w:t>相关说明</w:t>
            </w:r>
          </w:p>
        </w:tc>
      </w:tr>
      <w:tr w:rsidR="0068491A" w:rsidRPr="00352F59" w:rsidTr="0068491A">
        <w:trPr>
          <w:trHeight w:val="284"/>
          <w:jc w:val="center"/>
        </w:trPr>
        <w:tc>
          <w:tcPr>
            <w:tcW w:w="559" w:type="dxa"/>
            <w:vMerge w:val="restart"/>
            <w:shd w:val="clear" w:color="auto" w:fill="auto"/>
            <w:vAlign w:val="center"/>
            <w:hideMark/>
          </w:tcPr>
          <w:p w:rsidR="004C10D3" w:rsidRPr="00892548" w:rsidRDefault="004C10D3" w:rsidP="004C10D3">
            <w:pPr>
              <w:widowControl/>
              <w:spacing w:line="300" w:lineRule="exact"/>
              <w:ind w:leftChars="-20" w:left="-42" w:rightChars="-20" w:right="-42"/>
              <w:jc w:val="center"/>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3</w:t>
            </w:r>
          </w:p>
        </w:tc>
        <w:tc>
          <w:tcPr>
            <w:tcW w:w="574" w:type="dxa"/>
            <w:vMerge w:val="restart"/>
            <w:shd w:val="clear" w:color="auto" w:fill="auto"/>
            <w:vAlign w:val="center"/>
            <w:hideMark/>
          </w:tcPr>
          <w:p w:rsidR="004C10D3" w:rsidRPr="00892548" w:rsidRDefault="004C10D3" w:rsidP="004C10D3">
            <w:pPr>
              <w:widowControl/>
              <w:spacing w:line="300" w:lineRule="exact"/>
              <w:ind w:leftChars="-20" w:left="-42" w:rightChars="-20" w:right="-42"/>
              <w:jc w:val="center"/>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核增</w:t>
            </w:r>
          </w:p>
        </w:tc>
        <w:tc>
          <w:tcPr>
            <w:tcW w:w="1302" w:type="dxa"/>
            <w:shd w:val="clear" w:color="auto" w:fill="auto"/>
            <w:vAlign w:val="center"/>
            <w:hideMark/>
          </w:tcPr>
          <w:p w:rsidR="004C10D3" w:rsidRPr="00892548"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6860E8">
              <w:rPr>
                <w:rFonts w:asciiTheme="minorEastAsia" w:eastAsiaTheme="minorEastAsia" w:hAnsiTheme="minorEastAsia" w:cs="宋体" w:hint="eastAsia"/>
                <w:spacing w:val="-4"/>
                <w:kern w:val="0"/>
                <w:szCs w:val="21"/>
              </w:rPr>
              <w:t>轨道站点500</w:t>
            </w:r>
            <w:r w:rsidRPr="00892548">
              <w:rPr>
                <w:rFonts w:asciiTheme="minorEastAsia" w:eastAsiaTheme="minorEastAsia" w:hAnsiTheme="minorEastAsia" w:cs="宋体" w:hint="eastAsia"/>
                <w:kern w:val="0"/>
                <w:szCs w:val="21"/>
              </w:rPr>
              <w:t>米范围内居住用地</w:t>
            </w:r>
          </w:p>
        </w:tc>
        <w:tc>
          <w:tcPr>
            <w:tcW w:w="980" w:type="dxa"/>
            <w:shd w:val="clear" w:color="auto" w:fill="auto"/>
            <w:vAlign w:val="center"/>
            <w:hideMark/>
          </w:tcPr>
          <w:p w:rsidR="004C10D3" w:rsidRPr="00892548" w:rsidRDefault="004C10D3" w:rsidP="004C10D3">
            <w:pPr>
              <w:widowControl/>
              <w:spacing w:line="300" w:lineRule="exact"/>
              <w:ind w:leftChars="-20" w:left="-42" w:rightChars="-20" w:right="-42"/>
              <w:jc w:val="center"/>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3%</w:t>
            </w:r>
          </w:p>
        </w:tc>
        <w:tc>
          <w:tcPr>
            <w:tcW w:w="4675" w:type="dxa"/>
            <w:shd w:val="clear" w:color="auto" w:fill="auto"/>
            <w:vAlign w:val="center"/>
            <w:hideMark/>
          </w:tcPr>
          <w:p w:rsidR="004C10D3" w:rsidRPr="00892548" w:rsidRDefault="0064319C" w:rsidP="004C10D3">
            <w:pPr>
              <w:widowControl/>
              <w:spacing w:line="300" w:lineRule="exact"/>
              <w:ind w:leftChars="-20" w:left="-42" w:rightChars="-20" w:right="-42"/>
              <w:jc w:val="center"/>
              <w:rPr>
                <w:rFonts w:asciiTheme="minorEastAsia" w:eastAsiaTheme="minorEastAsia" w:hAnsiTheme="minorEastAsia" w:cs="宋体"/>
                <w:bCs/>
                <w:kern w:val="0"/>
                <w:szCs w:val="21"/>
              </w:rPr>
            </w:pP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轨</m:t>
                  </m:r>
                </m:sub>
              </m:sSub>
              <m:r>
                <w:rPr>
                  <w:rFonts w:ascii="Cambria Math" w:eastAsiaTheme="minorEastAsia" w:hAnsi="Cambria Math" w:cs="Cambria Math"/>
                  <w:kern w:val="0"/>
                  <w:szCs w:val="21"/>
                </w:rPr>
                <m:t>=</m:t>
              </m:r>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轨</m:t>
                  </m:r>
                </m:sub>
              </m:sSub>
            </m:oMath>
            <w:r w:rsidR="004C10D3" w:rsidRPr="00892548">
              <w:rPr>
                <w:rFonts w:asciiTheme="minorEastAsia" w:eastAsiaTheme="minorEastAsia" w:hAnsiTheme="minorEastAsia" w:cs="宋体" w:hint="eastAsia"/>
                <w:bCs/>
                <w:kern w:val="0"/>
                <w:szCs w:val="21"/>
              </w:rPr>
              <w:t>*</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轨</m:t>
                  </m:r>
                </m:sub>
              </m:sSub>
            </m:oMath>
            <w:r w:rsidR="004C10D3" w:rsidRPr="00892548">
              <w:rPr>
                <w:rFonts w:asciiTheme="minorEastAsia" w:eastAsiaTheme="minorEastAsia" w:hAnsiTheme="minorEastAsia" w:cs="宋体" w:hint="eastAsia"/>
                <w:bCs/>
                <w:kern w:val="0"/>
                <w:szCs w:val="21"/>
              </w:rPr>
              <w:t>/</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居</m:t>
                  </m:r>
                </m:sub>
              </m:sSub>
            </m:oMath>
          </w:p>
        </w:tc>
        <w:tc>
          <w:tcPr>
            <w:tcW w:w="5144" w:type="dxa"/>
            <w:shd w:val="clear" w:color="auto" w:fill="auto"/>
            <w:vAlign w:val="center"/>
            <w:hideMark/>
          </w:tcPr>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bCs/>
                <w:kern w:val="0"/>
                <w:szCs w:val="21"/>
              </w:rPr>
              <w:t>1．</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轨</m:t>
                  </m:r>
                </m:sub>
              </m:sSub>
            </m:oMath>
            <w:r w:rsidRPr="00352F59">
              <w:rPr>
                <w:rFonts w:asciiTheme="minorEastAsia" w:eastAsiaTheme="minorEastAsia" w:hAnsiTheme="minorEastAsia" w:cs="宋体" w:hint="eastAsia"/>
                <w:kern w:val="0"/>
                <w:szCs w:val="21"/>
              </w:rPr>
              <w:t>指根据轨道站点500米范围内居住用地面积确定的核增比例</w:t>
            </w:r>
            <w:r w:rsidR="0068491A" w:rsidRPr="00352F59">
              <w:rPr>
                <w:rFonts w:asciiTheme="minorEastAsia" w:eastAsiaTheme="minorEastAsia" w:hAnsiTheme="minorEastAsia" w:cs="宋体" w:hint="eastAsia"/>
                <w:kern w:val="0"/>
                <w:szCs w:val="21"/>
              </w:rPr>
              <w:t>。</w:t>
            </w:r>
          </w:p>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kern w:val="0"/>
                <w:szCs w:val="21"/>
              </w:rPr>
              <w:t>2．</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轨</m:t>
                  </m:r>
                </m:sub>
              </m:sSub>
            </m:oMath>
            <w:r w:rsidRPr="00352F59">
              <w:rPr>
                <w:rFonts w:asciiTheme="minorEastAsia" w:eastAsiaTheme="minorEastAsia" w:hAnsiTheme="minorEastAsia" w:cs="宋体" w:hint="eastAsia"/>
                <w:kern w:val="0"/>
                <w:szCs w:val="21"/>
              </w:rPr>
              <w:t>指因轨道站点500米范围内存在居住用地而产生的核增基数。</w:t>
            </w:r>
          </w:p>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bCs/>
                <w:kern w:val="0"/>
                <w:szCs w:val="21"/>
              </w:rPr>
              <w:t>3．</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轨</m:t>
                  </m:r>
                </m:sub>
              </m:sSub>
            </m:oMath>
            <w:r w:rsidRPr="00352F59">
              <w:rPr>
                <w:rFonts w:asciiTheme="minorEastAsia" w:eastAsiaTheme="minorEastAsia" w:hAnsiTheme="minorEastAsia" w:cs="宋体" w:hint="eastAsia"/>
                <w:kern w:val="0"/>
                <w:szCs w:val="21"/>
              </w:rPr>
              <w:t>指开发建设用地范围内轨道站点500米范围内居住用地面积。其中，居住用地面积指居住或其它包含居住的混合用地的面积，下同。</w:t>
            </w:r>
          </w:p>
          <w:p w:rsidR="004C10D3" w:rsidRPr="00352F59" w:rsidRDefault="004C10D3" w:rsidP="00523DB9">
            <w:pPr>
              <w:widowControl/>
              <w:spacing w:afterLines="20" w:after="62"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kern w:val="0"/>
                <w:szCs w:val="21"/>
              </w:rPr>
              <w:t>4．</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居</m:t>
                  </m:r>
                </m:sub>
              </m:sSub>
            </m:oMath>
            <w:r w:rsidRPr="00352F59">
              <w:rPr>
                <w:rFonts w:asciiTheme="minorEastAsia" w:eastAsiaTheme="minorEastAsia" w:hAnsiTheme="minorEastAsia" w:cs="宋体" w:hint="eastAsia"/>
                <w:kern w:val="0"/>
                <w:szCs w:val="21"/>
              </w:rPr>
              <w:t>指开发建设用地内总居住用地面积。</w:t>
            </w:r>
          </w:p>
        </w:tc>
      </w:tr>
      <w:tr w:rsidR="0068491A" w:rsidRPr="00352F59" w:rsidTr="0068491A">
        <w:trPr>
          <w:trHeight w:val="284"/>
          <w:jc w:val="center"/>
        </w:trPr>
        <w:tc>
          <w:tcPr>
            <w:tcW w:w="559" w:type="dxa"/>
            <w:vMerge/>
            <w:vAlign w:val="center"/>
            <w:hideMark/>
          </w:tcPr>
          <w:p w:rsidR="004C10D3" w:rsidRPr="00892548" w:rsidRDefault="004C10D3" w:rsidP="004C10D3">
            <w:pPr>
              <w:widowControl/>
              <w:spacing w:line="300" w:lineRule="exact"/>
              <w:ind w:leftChars="-20" w:left="-42" w:rightChars="-20" w:right="-42"/>
              <w:jc w:val="center"/>
              <w:rPr>
                <w:rFonts w:asciiTheme="minorEastAsia" w:eastAsiaTheme="minorEastAsia" w:hAnsiTheme="minorEastAsia" w:cs="宋体"/>
                <w:kern w:val="0"/>
                <w:szCs w:val="21"/>
              </w:rPr>
            </w:pPr>
          </w:p>
        </w:tc>
        <w:tc>
          <w:tcPr>
            <w:tcW w:w="574" w:type="dxa"/>
            <w:vMerge/>
            <w:vAlign w:val="center"/>
            <w:hideMark/>
          </w:tcPr>
          <w:p w:rsidR="004C10D3" w:rsidRPr="00892548" w:rsidRDefault="004C10D3" w:rsidP="004C10D3">
            <w:pPr>
              <w:widowControl/>
              <w:spacing w:line="300" w:lineRule="exact"/>
              <w:ind w:leftChars="-20" w:left="-42" w:rightChars="-20" w:right="-42"/>
              <w:rPr>
                <w:rFonts w:asciiTheme="minorEastAsia" w:eastAsiaTheme="minorEastAsia" w:hAnsiTheme="minorEastAsia" w:cs="宋体"/>
                <w:kern w:val="0"/>
                <w:szCs w:val="21"/>
              </w:rPr>
            </w:pPr>
          </w:p>
        </w:tc>
        <w:tc>
          <w:tcPr>
            <w:tcW w:w="1302" w:type="dxa"/>
            <w:shd w:val="clear" w:color="auto" w:fill="auto"/>
            <w:vAlign w:val="center"/>
            <w:hideMark/>
          </w:tcPr>
          <w:p w:rsidR="004C10D3" w:rsidRPr="00892548"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拆除</w:t>
            </w:r>
            <w:proofErr w:type="gramStart"/>
            <w:r w:rsidRPr="00892548">
              <w:rPr>
                <w:rFonts w:asciiTheme="minorEastAsia" w:eastAsiaTheme="minorEastAsia" w:hAnsiTheme="minorEastAsia" w:cs="宋体" w:hint="eastAsia"/>
                <w:kern w:val="0"/>
                <w:szCs w:val="21"/>
              </w:rPr>
              <w:t>范围内旧工业区</w:t>
            </w:r>
            <w:proofErr w:type="gramEnd"/>
            <w:r w:rsidRPr="00892548">
              <w:rPr>
                <w:rFonts w:asciiTheme="minorEastAsia" w:eastAsiaTheme="minorEastAsia" w:hAnsiTheme="minorEastAsia" w:cs="宋体" w:hint="eastAsia"/>
                <w:kern w:val="0"/>
                <w:szCs w:val="21"/>
              </w:rPr>
              <w:t>（仓储区）或城市基础设施及公共服务设施用地改造为住宅</w:t>
            </w:r>
          </w:p>
        </w:tc>
        <w:tc>
          <w:tcPr>
            <w:tcW w:w="980" w:type="dxa"/>
            <w:shd w:val="clear" w:color="auto" w:fill="auto"/>
            <w:vAlign w:val="center"/>
            <w:hideMark/>
          </w:tcPr>
          <w:p w:rsidR="004C10D3" w:rsidRPr="00892548" w:rsidRDefault="004C10D3" w:rsidP="004C10D3">
            <w:pPr>
              <w:widowControl/>
              <w:spacing w:line="300" w:lineRule="exact"/>
              <w:ind w:leftChars="-20" w:left="-42" w:rightChars="-20" w:right="-42"/>
              <w:jc w:val="center"/>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15%</w:t>
            </w:r>
          </w:p>
        </w:tc>
        <w:tc>
          <w:tcPr>
            <w:tcW w:w="4675" w:type="dxa"/>
            <w:shd w:val="clear" w:color="auto" w:fill="auto"/>
            <w:vAlign w:val="center"/>
            <w:hideMark/>
          </w:tcPr>
          <w:p w:rsidR="004C10D3" w:rsidRPr="00892548" w:rsidRDefault="0064319C" w:rsidP="0068491A">
            <w:pPr>
              <w:widowControl/>
              <w:spacing w:line="300" w:lineRule="exact"/>
              <w:ind w:leftChars="-20" w:left="-42" w:rightChars="-20" w:right="-42"/>
              <w:jc w:val="center"/>
              <w:rPr>
                <w:rFonts w:asciiTheme="minorEastAsia" w:eastAsiaTheme="minorEastAsia" w:hAnsiTheme="minorEastAsia" w:cs="宋体"/>
                <w:bCs/>
                <w:kern w:val="0"/>
                <w:szCs w:val="21"/>
              </w:rPr>
            </w:pP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工</m:t>
                  </m:r>
                </m:sub>
              </m:sSub>
              <m:r>
                <w:rPr>
                  <w:rFonts w:ascii="Cambria Math" w:eastAsiaTheme="minorEastAsia" w:hAnsi="Cambria Math" w:cs="Cambria Math"/>
                  <w:kern w:val="0"/>
                  <w:szCs w:val="21"/>
                </w:rPr>
                <m:t>=</m:t>
              </m:r>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工</m:t>
                  </m:r>
                </m:sub>
              </m:sSub>
            </m:oMath>
            <w:r w:rsidR="004C10D3" w:rsidRPr="00892548">
              <w:rPr>
                <w:rFonts w:asciiTheme="minorEastAsia" w:eastAsiaTheme="minorEastAsia" w:hAnsiTheme="minorEastAsia" w:cs="宋体" w:hint="eastAsia"/>
                <w:bCs/>
                <w:kern w:val="0"/>
                <w:szCs w:val="21"/>
              </w:rPr>
              <w:t>*</w:t>
            </w:r>
            <m:oMath>
              <m:r>
                <m:rPr>
                  <m:sty m:val="p"/>
                </m:rPr>
                <w:rPr>
                  <w:rFonts w:ascii="Cambria Math" w:eastAsiaTheme="minorEastAsia" w:hAnsi="Cambria Math" w:cs="Cambria Math"/>
                  <w:kern w:val="0"/>
                  <w:szCs w:val="21"/>
                </w:rPr>
                <m:t>(S-</m:t>
              </m:r>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城中村、旧屋村用地</m:t>
                  </m:r>
                </m:sub>
              </m:sSub>
              <m:r>
                <m:rPr>
                  <m:sty m:val="p"/>
                </m:rPr>
                <w:rPr>
                  <w:rFonts w:ascii="Cambria Math" w:eastAsiaTheme="minorEastAsia" w:hAnsi="Cambria Math" w:cs="Cambria Math"/>
                  <w:kern w:val="0"/>
                  <w:szCs w:val="21"/>
                </w:rPr>
                <m:t>)</m:t>
              </m:r>
              <m:r>
                <m:rPr>
                  <m:sty m:val="p"/>
                </m:rPr>
                <w:rPr>
                  <w:rFonts w:ascii="Cambria Math" w:eastAsia="MS Gothic" w:hAnsi="Cambria Math" w:cs="MS Gothic" w:hint="eastAsia"/>
                  <w:kern w:val="0"/>
                  <w:szCs w:val="21"/>
                </w:rPr>
                <m:t>*</m:t>
              </m:r>
              <m:f>
                <m:fPr>
                  <m:ctrlPr>
                    <w:rPr>
                      <w:rFonts w:ascii="Cambria Math" w:eastAsiaTheme="minorEastAsia" w:hAnsi="Cambria Math" w:cs="Cambria Math"/>
                      <w:kern w:val="0"/>
                      <w:szCs w:val="21"/>
                    </w:rPr>
                  </m:ctrlPr>
                </m:fPr>
                <m:num>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工</m:t>
                      </m:r>
                    </m:sub>
                  </m:sSub>
                </m:num>
                <m:den>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其他权属清晰的用地</m:t>
                      </m:r>
                    </m:sub>
                  </m:sSub>
                </m:den>
              </m:f>
            </m:oMath>
            <w:r w:rsidR="004C10D3" w:rsidRPr="00892548">
              <w:rPr>
                <w:rFonts w:asciiTheme="minorEastAsia" w:eastAsiaTheme="minorEastAsia" w:hAnsiTheme="minorEastAsia" w:cs="宋体" w:hint="eastAsia"/>
                <w:bCs/>
                <w:kern w:val="0"/>
                <w:szCs w:val="21"/>
              </w:rPr>
              <w:t>/</w:t>
            </w:r>
            <m:oMath>
              <m:r>
                <m:rPr>
                  <m:sty m:val="p"/>
                </m:rPr>
                <w:rPr>
                  <w:rFonts w:ascii="Cambria Math" w:eastAsiaTheme="minorEastAsia" w:hAnsi="Cambria Math" w:cs="Cambria Math"/>
                  <w:kern w:val="0"/>
                  <w:szCs w:val="21"/>
                </w:rPr>
                <m:t xml:space="preserve"> S</m:t>
              </m:r>
            </m:oMath>
          </w:p>
        </w:tc>
        <w:tc>
          <w:tcPr>
            <w:tcW w:w="5144" w:type="dxa"/>
            <w:shd w:val="clear" w:color="auto" w:fill="auto"/>
            <w:vAlign w:val="center"/>
            <w:hideMark/>
          </w:tcPr>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kern w:val="0"/>
                <w:szCs w:val="21"/>
              </w:rPr>
              <w:t>1．</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工</m:t>
                  </m:r>
                </m:sub>
              </m:sSub>
            </m:oMath>
            <w:r w:rsidRPr="00352F59">
              <w:rPr>
                <w:rFonts w:asciiTheme="minorEastAsia" w:eastAsiaTheme="minorEastAsia" w:hAnsiTheme="minorEastAsia" w:cs="宋体" w:hint="eastAsia"/>
                <w:kern w:val="0"/>
                <w:szCs w:val="21"/>
              </w:rPr>
              <w:t>指根据旧工业区（仓储区）或城市基础设施及公共服务设施用地改造为住宅的面积确定的核增比例。</w:t>
            </w:r>
          </w:p>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kern w:val="0"/>
                <w:szCs w:val="21"/>
              </w:rPr>
              <w:t>2．</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工</m:t>
                  </m:r>
                </m:sub>
              </m:sSub>
            </m:oMath>
            <w:r w:rsidRPr="00352F59">
              <w:rPr>
                <w:rFonts w:asciiTheme="minorEastAsia" w:eastAsiaTheme="minorEastAsia" w:hAnsiTheme="minorEastAsia" w:cs="宋体" w:hint="eastAsia"/>
                <w:kern w:val="0"/>
                <w:szCs w:val="21"/>
              </w:rPr>
              <w:t>指因存在旧工业区（仓储区）或城市基础设施及公共服务设施用地改造为住宅而产生的核增基数。</w:t>
            </w:r>
          </w:p>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kern w:val="0"/>
                <w:szCs w:val="21"/>
              </w:rPr>
              <w:t>3．</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城中村、旧屋村用地</m:t>
                  </m:r>
                </m:sub>
              </m:sSub>
            </m:oMath>
            <w:r w:rsidRPr="00352F59">
              <w:rPr>
                <w:rFonts w:asciiTheme="minorEastAsia" w:eastAsiaTheme="minorEastAsia" w:hAnsiTheme="minorEastAsia" w:cs="宋体" w:hint="eastAsia"/>
                <w:kern w:val="0"/>
                <w:szCs w:val="21"/>
              </w:rPr>
              <w:t>指拆除范围内城中村、旧屋村用地面积。</w:t>
            </w:r>
          </w:p>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kern w:val="0"/>
                <w:szCs w:val="21"/>
              </w:rPr>
              <w:t>4．</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工</m:t>
                  </m:r>
                </m:sub>
              </m:sSub>
            </m:oMath>
            <w:r w:rsidRPr="00352F59">
              <w:rPr>
                <w:rFonts w:asciiTheme="minorEastAsia" w:eastAsiaTheme="minorEastAsia" w:hAnsiTheme="minorEastAsia" w:cs="宋体" w:hint="eastAsia"/>
                <w:kern w:val="0"/>
                <w:szCs w:val="21"/>
              </w:rPr>
              <w:t>指拆除范围内国有已出让（</w:t>
            </w:r>
            <w:proofErr w:type="gramStart"/>
            <w:r w:rsidRPr="00352F59">
              <w:rPr>
                <w:rFonts w:asciiTheme="minorEastAsia" w:eastAsiaTheme="minorEastAsia" w:hAnsiTheme="minorEastAsia" w:cs="宋体" w:hint="eastAsia"/>
                <w:kern w:val="0"/>
                <w:szCs w:val="21"/>
              </w:rPr>
              <w:t>划拔</w:t>
            </w:r>
            <w:proofErr w:type="gramEnd"/>
            <w:r w:rsidRPr="00352F59">
              <w:rPr>
                <w:rFonts w:asciiTheme="minorEastAsia" w:eastAsiaTheme="minorEastAsia" w:hAnsiTheme="minorEastAsia" w:cs="宋体" w:hint="eastAsia"/>
                <w:kern w:val="0"/>
                <w:szCs w:val="21"/>
              </w:rPr>
              <w:t>）的工业（仓储区）或城市基础设施及公共服务设施用地。</w:t>
            </w:r>
          </w:p>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kern w:val="0"/>
                <w:szCs w:val="21"/>
              </w:rPr>
              <w:t>5．</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S</m:t>
                  </m:r>
                </m:e>
                <m:sub>
                  <m:r>
                    <m:rPr>
                      <m:sty m:val="p"/>
                    </m:rPr>
                    <w:rPr>
                      <w:rFonts w:ascii="Cambria Math" w:eastAsiaTheme="minorEastAsia" w:hAnsi="Cambria Math" w:cs="Cambria Math"/>
                      <w:kern w:val="0"/>
                      <w:szCs w:val="21"/>
                    </w:rPr>
                    <m:t>其他权属清晰的用地</m:t>
                  </m:r>
                </m:sub>
              </m:sSub>
            </m:oMath>
            <w:r w:rsidRPr="00352F59">
              <w:rPr>
                <w:rFonts w:asciiTheme="minorEastAsia" w:eastAsiaTheme="minorEastAsia" w:hAnsiTheme="minorEastAsia" w:cs="宋体" w:hint="eastAsia"/>
                <w:kern w:val="0"/>
                <w:szCs w:val="21"/>
              </w:rPr>
              <w:t>指拆除范围内除城中村、旧屋村用地外的其他权属清晰的用地（</w:t>
            </w:r>
            <w:proofErr w:type="gramStart"/>
            <w:r w:rsidRPr="00352F59">
              <w:rPr>
                <w:rFonts w:asciiTheme="minorEastAsia" w:eastAsiaTheme="minorEastAsia" w:hAnsiTheme="minorEastAsia" w:cs="宋体" w:hint="eastAsia"/>
                <w:kern w:val="0"/>
                <w:szCs w:val="21"/>
              </w:rPr>
              <w:t>含历史</w:t>
            </w:r>
            <w:proofErr w:type="gramEnd"/>
            <w:r w:rsidRPr="00352F59">
              <w:rPr>
                <w:rFonts w:asciiTheme="minorEastAsia" w:eastAsiaTheme="minorEastAsia" w:hAnsiTheme="minorEastAsia" w:cs="宋体" w:hint="eastAsia"/>
                <w:kern w:val="0"/>
                <w:szCs w:val="21"/>
              </w:rPr>
              <w:t>用地处置后的用</w:t>
            </w:r>
            <w:r w:rsidRPr="001368DE">
              <w:rPr>
                <w:rFonts w:asciiTheme="minorEastAsia" w:eastAsiaTheme="minorEastAsia" w:hAnsiTheme="minorEastAsia" w:cs="宋体" w:hint="eastAsia"/>
                <w:kern w:val="21"/>
                <w:szCs w:val="21"/>
              </w:rPr>
              <w:t>地）。</w:t>
            </w:r>
          </w:p>
        </w:tc>
      </w:tr>
      <w:tr w:rsidR="0068491A" w:rsidRPr="00352F59" w:rsidTr="0068491A">
        <w:trPr>
          <w:trHeight w:val="284"/>
          <w:jc w:val="center"/>
        </w:trPr>
        <w:tc>
          <w:tcPr>
            <w:tcW w:w="559" w:type="dxa"/>
            <w:shd w:val="clear" w:color="auto" w:fill="auto"/>
            <w:vAlign w:val="center"/>
            <w:hideMark/>
          </w:tcPr>
          <w:p w:rsidR="004C10D3" w:rsidRPr="00892548" w:rsidRDefault="004C10D3" w:rsidP="004C10D3">
            <w:pPr>
              <w:widowControl/>
              <w:spacing w:line="300" w:lineRule="exact"/>
              <w:ind w:leftChars="-20" w:left="-42" w:rightChars="-20" w:right="-42"/>
              <w:jc w:val="center"/>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4</w:t>
            </w:r>
          </w:p>
        </w:tc>
        <w:tc>
          <w:tcPr>
            <w:tcW w:w="1876" w:type="dxa"/>
            <w:gridSpan w:val="2"/>
            <w:shd w:val="clear" w:color="auto" w:fill="auto"/>
            <w:vAlign w:val="center"/>
            <w:hideMark/>
          </w:tcPr>
          <w:p w:rsidR="004C10D3" w:rsidRPr="00892548"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892548">
              <w:rPr>
                <w:rFonts w:asciiTheme="minorEastAsia" w:eastAsiaTheme="minorEastAsia" w:hAnsiTheme="minorEastAsia" w:cs="宋体" w:hint="eastAsia"/>
                <w:kern w:val="0"/>
                <w:szCs w:val="21"/>
              </w:rPr>
              <w:t>更新单元人才住房和保障性住房配建总比例</w:t>
            </w:r>
            <w:r w:rsidRPr="001368DE">
              <w:rPr>
                <w:rFonts w:asciiTheme="minorEastAsia" w:eastAsiaTheme="minorEastAsia" w:hAnsiTheme="minorEastAsia" w:cs="宋体" w:hint="eastAsia"/>
                <w:bCs/>
                <w:kern w:val="0"/>
                <w:szCs w:val="21"/>
              </w:rPr>
              <w:t>（</w:t>
            </w:r>
            <m:oMath>
              <m:r>
                <m:rPr>
                  <m:sty m:val="p"/>
                </m:rPr>
                <w:rPr>
                  <w:rFonts w:ascii="Cambria Math" w:eastAsiaTheme="minorEastAsia" w:hAnsi="Cambria Math" w:cs="Cambria Math"/>
                  <w:kern w:val="0"/>
                  <w:szCs w:val="21"/>
                </w:rPr>
                <m:t>R</m:t>
              </m:r>
            </m:oMath>
            <w:r w:rsidRPr="001368DE">
              <w:rPr>
                <w:rFonts w:asciiTheme="minorEastAsia" w:eastAsiaTheme="minorEastAsia" w:hAnsiTheme="minorEastAsia" w:cs="宋体" w:hint="eastAsia"/>
                <w:bCs/>
                <w:kern w:val="0"/>
                <w:szCs w:val="21"/>
              </w:rPr>
              <w:t>）</w:t>
            </w:r>
          </w:p>
        </w:tc>
        <w:tc>
          <w:tcPr>
            <w:tcW w:w="5655" w:type="dxa"/>
            <w:gridSpan w:val="2"/>
            <w:shd w:val="clear" w:color="auto" w:fill="auto"/>
            <w:vAlign w:val="center"/>
            <w:hideMark/>
          </w:tcPr>
          <w:p w:rsidR="004C10D3" w:rsidRPr="004C10D3" w:rsidRDefault="004C10D3" w:rsidP="004C10D3">
            <w:pPr>
              <w:widowControl/>
              <w:spacing w:line="300" w:lineRule="exact"/>
              <w:ind w:leftChars="-20" w:left="-42" w:rightChars="-20" w:right="-42"/>
              <w:jc w:val="center"/>
              <w:rPr>
                <w:rFonts w:asciiTheme="minorEastAsia" w:eastAsiaTheme="minorEastAsia" w:hAnsiTheme="minorEastAsia" w:cs="宋体"/>
                <w:bCs/>
                <w:kern w:val="0"/>
                <w:szCs w:val="21"/>
              </w:rPr>
            </w:pPr>
            <m:oMath>
              <m:r>
                <m:rPr>
                  <m:sty m:val="p"/>
                </m:rPr>
                <w:rPr>
                  <w:rFonts w:ascii="Cambria Math" w:eastAsiaTheme="minorEastAsia" w:hAnsi="Cambria Math" w:cs="Cambria Math"/>
                  <w:kern w:val="0"/>
                  <w:szCs w:val="21"/>
                </w:rPr>
                <m:t>R</m:t>
              </m:r>
              <m:r>
                <w:rPr>
                  <w:rFonts w:ascii="Cambria Math" w:eastAsiaTheme="minorEastAsia" w:hAnsi="Cambria Math" w:cs="Cambria Math"/>
                  <w:kern w:val="0"/>
                  <w:szCs w:val="21"/>
                </w:rPr>
                <m:t>=</m:t>
              </m:r>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基</m:t>
                  </m:r>
                </m:sub>
              </m:sSub>
            </m:oMath>
            <w:r w:rsidRPr="00892548">
              <w:rPr>
                <w:rFonts w:asciiTheme="minorEastAsia" w:eastAsiaTheme="minorEastAsia" w:hAnsiTheme="minorEastAsia" w:cs="宋体" w:hint="eastAsia"/>
                <w:bCs/>
                <w:kern w:val="0"/>
                <w:szCs w:val="21"/>
              </w:rPr>
              <w:t>-</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城</m:t>
                  </m:r>
                </m:sub>
              </m:sSub>
            </m:oMath>
            <w:r w:rsidRPr="00892548">
              <w:rPr>
                <w:rFonts w:asciiTheme="minorEastAsia" w:eastAsiaTheme="minorEastAsia" w:hAnsiTheme="minorEastAsia" w:cs="宋体" w:hint="eastAsia"/>
                <w:bCs/>
                <w:kern w:val="0"/>
                <w:szCs w:val="21"/>
              </w:rPr>
              <w:t>-</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移</m:t>
                  </m:r>
                </m:sub>
              </m:sSub>
            </m:oMath>
            <w:r w:rsidRPr="00892548">
              <w:rPr>
                <w:rFonts w:asciiTheme="minorEastAsia" w:eastAsiaTheme="minorEastAsia" w:hAnsiTheme="minorEastAsia" w:cs="宋体" w:hint="eastAsia"/>
                <w:bCs/>
                <w:kern w:val="0"/>
                <w:szCs w:val="21"/>
              </w:rPr>
              <w:t>+</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工</m:t>
                  </m:r>
                </m:sub>
              </m:sSub>
            </m:oMath>
            <w:r w:rsidRPr="00892548">
              <w:rPr>
                <w:rFonts w:asciiTheme="minorEastAsia" w:eastAsiaTheme="minorEastAsia" w:hAnsiTheme="minorEastAsia" w:cs="宋体" w:hint="eastAsia"/>
                <w:bCs/>
                <w:kern w:val="0"/>
                <w:szCs w:val="21"/>
              </w:rPr>
              <w:t>+</w:t>
            </w:r>
            <m:oMath>
              <m:sSub>
                <m:sSubPr>
                  <m:ctrlPr>
                    <w:rPr>
                      <w:rFonts w:ascii="Cambria Math" w:eastAsiaTheme="minorEastAsia" w:hAnsi="Cambria Math" w:cs="Cambria Math"/>
                      <w:kern w:val="0"/>
                      <w:szCs w:val="21"/>
                    </w:rPr>
                  </m:ctrlPr>
                </m:sSubPr>
                <m:e>
                  <m:r>
                    <m:rPr>
                      <m:sty m:val="p"/>
                    </m:rPr>
                    <w:rPr>
                      <w:rFonts w:ascii="Cambria Math" w:eastAsiaTheme="minorEastAsia" w:hAnsi="Cambria Math" w:cs="Cambria Math"/>
                      <w:kern w:val="0"/>
                      <w:szCs w:val="21"/>
                    </w:rPr>
                    <m:t>r</m:t>
                  </m:r>
                </m:e>
                <m:sub>
                  <m:r>
                    <m:rPr>
                      <m:sty m:val="p"/>
                    </m:rPr>
                    <w:rPr>
                      <w:rFonts w:ascii="Cambria Math" w:eastAsiaTheme="minorEastAsia" w:hAnsi="Cambria Math" w:cs="Cambria Math"/>
                      <w:kern w:val="0"/>
                      <w:szCs w:val="21"/>
                    </w:rPr>
                    <m:t>轨</m:t>
                  </m:r>
                </m:sub>
              </m:sSub>
            </m:oMath>
          </w:p>
        </w:tc>
        <w:tc>
          <w:tcPr>
            <w:tcW w:w="5144" w:type="dxa"/>
            <w:shd w:val="clear" w:color="auto" w:fill="auto"/>
            <w:vAlign w:val="center"/>
            <w:hideMark/>
          </w:tcPr>
          <w:p w:rsidR="004C10D3" w:rsidRPr="00352F59" w:rsidRDefault="004C10D3" w:rsidP="004C10D3">
            <w:pPr>
              <w:widowControl/>
              <w:spacing w:line="300" w:lineRule="exact"/>
              <w:ind w:leftChars="-20" w:left="-42" w:rightChars="-20" w:right="-42"/>
              <w:rPr>
                <w:rFonts w:asciiTheme="minorEastAsia" w:eastAsiaTheme="minorEastAsia" w:hAnsiTheme="minorEastAsia" w:cs="宋体"/>
                <w:kern w:val="0"/>
                <w:szCs w:val="21"/>
              </w:rPr>
            </w:pPr>
            <w:r w:rsidRPr="00352F59">
              <w:rPr>
                <w:rFonts w:asciiTheme="minorEastAsia" w:eastAsiaTheme="minorEastAsia" w:hAnsiTheme="minorEastAsia" w:cs="宋体" w:hint="eastAsia"/>
                <w:kern w:val="0"/>
                <w:szCs w:val="21"/>
              </w:rPr>
              <w:t>1．项目改造前拆除范围内包含多种用地类别的，核增核减顺序为城中村、旧屋村、其他权属清晰用地、按规定纳入的国有未出让零星用地。当前几类用地之和大于开发建设用地面积时，后面的用地不再参与核算。</w:t>
            </w:r>
            <w:r w:rsidRPr="00352F59">
              <w:rPr>
                <w:rFonts w:asciiTheme="minorEastAsia" w:eastAsiaTheme="minorEastAsia" w:hAnsiTheme="minorEastAsia" w:cs="宋体" w:hint="eastAsia"/>
                <w:kern w:val="0"/>
                <w:szCs w:val="21"/>
              </w:rPr>
              <w:br/>
              <w:t>2．拆除范围内土地权属及用地面积以《土地、建筑物信息核查意见的复函》为准。</w:t>
            </w:r>
          </w:p>
        </w:tc>
      </w:tr>
    </w:tbl>
    <w:p w:rsidR="00536A5B" w:rsidRPr="00892548" w:rsidRDefault="00536A5B" w:rsidP="00892548">
      <w:pPr>
        <w:spacing w:line="260" w:lineRule="exact"/>
        <w:rPr>
          <w:rFonts w:asciiTheme="minorEastAsia" w:eastAsiaTheme="minorEastAsia" w:hAnsiTheme="minorEastAsia"/>
          <w:szCs w:val="21"/>
        </w:rPr>
      </w:pPr>
    </w:p>
    <w:sectPr w:rsidR="00536A5B" w:rsidRPr="00892548" w:rsidSect="009F1ECE">
      <w:headerReference w:type="even" r:id="rId6"/>
      <w:headerReference w:type="default" r:id="rId7"/>
      <w:footerReference w:type="even" r:id="rId8"/>
      <w:footerReference w:type="default" r:id="rId9"/>
      <w:pgSz w:w="16838" w:h="11906" w:orient="landscape" w:code="9"/>
      <w:pgMar w:top="1418" w:right="1843" w:bottom="1418" w:left="1843" w:header="1304" w:footer="1304" w:gutter="0"/>
      <w:pgNumType w:start="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9C" w:rsidRDefault="0064319C" w:rsidP="0068491A">
      <w:r>
        <w:separator/>
      </w:r>
    </w:p>
  </w:endnote>
  <w:endnote w:type="continuationSeparator" w:id="0">
    <w:p w:rsidR="0064319C" w:rsidRDefault="0064319C" w:rsidP="0068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606315"/>
      <w:docPartObj>
        <w:docPartGallery w:val="Page Numbers (Bottom of Page)"/>
        <w:docPartUnique/>
      </w:docPartObj>
    </w:sdtPr>
    <w:sdtContent>
      <w:p w:rsidR="00AB7139" w:rsidRDefault="00AB7139">
        <w:pPr>
          <w:pStyle w:val="a5"/>
          <w:jc w:val="right"/>
        </w:pPr>
        <w:r>
          <w:t>11</w:t>
        </w:r>
      </w:p>
    </w:sdtContent>
  </w:sdt>
  <w:p w:rsidR="00350FA8" w:rsidRDefault="00350F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220208"/>
      <w:docPartObj>
        <w:docPartGallery w:val="Page Numbers (Bottom of Page)"/>
        <w:docPartUnique/>
      </w:docPartObj>
    </w:sdtPr>
    <w:sdtContent>
      <w:p w:rsidR="00AB7139" w:rsidRDefault="00AB7139">
        <w:pPr>
          <w:pStyle w:val="a5"/>
        </w:pPr>
        <w:r>
          <w:t>10</w:t>
        </w:r>
      </w:p>
    </w:sdtContent>
  </w:sdt>
  <w:p w:rsidR="00350FA8" w:rsidRDefault="00350F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9C" w:rsidRDefault="0064319C" w:rsidP="0068491A">
      <w:r>
        <w:separator/>
      </w:r>
    </w:p>
  </w:footnote>
  <w:footnote w:type="continuationSeparator" w:id="0">
    <w:p w:rsidR="0064319C" w:rsidRDefault="0064319C" w:rsidP="0068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CE" w:rsidRPr="00664392" w:rsidRDefault="009F1ECE" w:rsidP="009F1ECE">
    <w:pPr>
      <w:pStyle w:val="a4"/>
      <w:rPr>
        <w:rFonts w:asciiTheme="minorEastAsia" w:eastAsiaTheme="minorEastAsia" w:hAnsiTheme="minorEastAsia"/>
      </w:rPr>
    </w:pPr>
    <w:r w:rsidRPr="00664392">
      <w:rPr>
        <w:rFonts w:asciiTheme="minorEastAsia" w:eastAsiaTheme="minorEastAsia" w:hAnsiTheme="minorEastAsia"/>
      </w:rPr>
      <w:t>深圳市人民政府公报</w:t>
    </w:r>
    <w:r w:rsidRPr="00664392">
      <w:rPr>
        <w:rFonts w:asciiTheme="minorEastAsia" w:eastAsiaTheme="minorEastAsia" w:hAnsiTheme="minorEastAsia" w:hint="eastAsia"/>
      </w:rPr>
      <w:t xml:space="preserve">   </w:t>
    </w:r>
    <w:r>
      <w:rPr>
        <w:rFonts w:asciiTheme="minorEastAsia" w:eastAsiaTheme="minorEastAsia" w:hAnsiTheme="minorEastAsia"/>
      </w:rPr>
      <w:t xml:space="preserve">                                                                                                          </w:t>
    </w:r>
    <w:r w:rsidRPr="00664392">
      <w:rPr>
        <w:rFonts w:asciiTheme="minorEastAsia" w:eastAsiaTheme="minorEastAsia" w:hAnsiTheme="minorEastAsia" w:hint="eastAsia"/>
      </w:rPr>
      <w:t xml:space="preserve">       </w:t>
    </w:r>
    <w:r w:rsidRPr="00664392">
      <w:rPr>
        <w:rFonts w:asciiTheme="minorEastAsia" w:eastAsiaTheme="minorEastAsia" w:hAnsiTheme="minorEastAsia"/>
      </w:rPr>
      <w:t>2018年第</w:t>
    </w:r>
    <w:r w:rsidRPr="00664392">
      <w:rPr>
        <w:rFonts w:asciiTheme="minorEastAsia" w:eastAsiaTheme="minorEastAsia" w:hAnsiTheme="minorEastAsia" w:hint="eastAsia"/>
      </w:rPr>
      <w:t>1期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97" w:rsidRPr="00664392" w:rsidRDefault="00664392">
    <w:pPr>
      <w:pStyle w:val="a4"/>
      <w:rPr>
        <w:rFonts w:asciiTheme="minorEastAsia" w:eastAsiaTheme="minorEastAsia" w:hAnsiTheme="minorEastAsia"/>
      </w:rPr>
    </w:pPr>
    <w:r w:rsidRPr="00664392">
      <w:rPr>
        <w:rFonts w:asciiTheme="minorEastAsia" w:eastAsiaTheme="minorEastAsia" w:hAnsiTheme="minorEastAsia"/>
      </w:rPr>
      <w:t>深圳市人民政府公报</w:t>
    </w:r>
    <w:r w:rsidRPr="00664392">
      <w:rPr>
        <w:rFonts w:asciiTheme="minorEastAsia" w:eastAsiaTheme="minorEastAsia" w:hAnsiTheme="minorEastAsia" w:hint="eastAsia"/>
      </w:rPr>
      <w:t xml:space="preserve">   </w:t>
    </w:r>
    <w:r>
      <w:rPr>
        <w:rFonts w:asciiTheme="minorEastAsia" w:eastAsiaTheme="minorEastAsia" w:hAnsiTheme="minorEastAsia"/>
      </w:rPr>
      <w:t xml:space="preserve">                                                                                                          </w:t>
    </w:r>
    <w:r w:rsidRPr="00664392">
      <w:rPr>
        <w:rFonts w:asciiTheme="minorEastAsia" w:eastAsiaTheme="minorEastAsia" w:hAnsiTheme="minorEastAsia" w:hint="eastAsia"/>
      </w:rPr>
      <w:t xml:space="preserve">       </w:t>
    </w:r>
    <w:r w:rsidRPr="00664392">
      <w:rPr>
        <w:rFonts w:asciiTheme="minorEastAsia" w:eastAsiaTheme="minorEastAsia" w:hAnsiTheme="minorEastAsia"/>
      </w:rPr>
      <w:t>2018</w:t>
    </w:r>
    <w:r w:rsidRPr="00664392">
      <w:rPr>
        <w:rFonts w:asciiTheme="minorEastAsia" w:eastAsiaTheme="minorEastAsia" w:hAnsiTheme="minorEastAsia"/>
      </w:rPr>
      <w:t>年第</w:t>
    </w:r>
    <w:r w:rsidRPr="00664392">
      <w:rPr>
        <w:rFonts w:asciiTheme="minorEastAsia" w:eastAsiaTheme="minorEastAsia" w:hAnsiTheme="minorEastAsia" w:hint="eastAsia"/>
      </w:rPr>
      <w:t>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A7"/>
    <w:rsid w:val="000F2E28"/>
    <w:rsid w:val="00110DBB"/>
    <w:rsid w:val="001368DE"/>
    <w:rsid w:val="001C32B8"/>
    <w:rsid w:val="002361EB"/>
    <w:rsid w:val="002A30AA"/>
    <w:rsid w:val="002E768E"/>
    <w:rsid w:val="00340439"/>
    <w:rsid w:val="00347C1E"/>
    <w:rsid w:val="00350FA8"/>
    <w:rsid w:val="00352F59"/>
    <w:rsid w:val="003A2325"/>
    <w:rsid w:val="00401784"/>
    <w:rsid w:val="004679FD"/>
    <w:rsid w:val="004C10D3"/>
    <w:rsid w:val="00523DB9"/>
    <w:rsid w:val="00536A5B"/>
    <w:rsid w:val="00543087"/>
    <w:rsid w:val="005631E1"/>
    <w:rsid w:val="005D2DE6"/>
    <w:rsid w:val="006063A7"/>
    <w:rsid w:val="00624887"/>
    <w:rsid w:val="0064319C"/>
    <w:rsid w:val="00664392"/>
    <w:rsid w:val="0068491A"/>
    <w:rsid w:val="006860E8"/>
    <w:rsid w:val="00702A14"/>
    <w:rsid w:val="00735B9F"/>
    <w:rsid w:val="007D3A4F"/>
    <w:rsid w:val="00827BD2"/>
    <w:rsid w:val="0084353E"/>
    <w:rsid w:val="00844EA1"/>
    <w:rsid w:val="00892548"/>
    <w:rsid w:val="008A2E28"/>
    <w:rsid w:val="009148EB"/>
    <w:rsid w:val="00917E0D"/>
    <w:rsid w:val="00982908"/>
    <w:rsid w:val="009F1ECE"/>
    <w:rsid w:val="00A2750C"/>
    <w:rsid w:val="00A33093"/>
    <w:rsid w:val="00AB7139"/>
    <w:rsid w:val="00BD531A"/>
    <w:rsid w:val="00BE1F8B"/>
    <w:rsid w:val="00BF320E"/>
    <w:rsid w:val="00D60BB7"/>
    <w:rsid w:val="00DB1B95"/>
    <w:rsid w:val="00E369B9"/>
    <w:rsid w:val="00E65914"/>
    <w:rsid w:val="00E74D97"/>
    <w:rsid w:val="00E76F46"/>
    <w:rsid w:val="00EA6AF4"/>
    <w:rsid w:val="00EC75F0"/>
    <w:rsid w:val="00EE464A"/>
    <w:rsid w:val="00F1568A"/>
    <w:rsid w:val="00F344DC"/>
    <w:rsid w:val="00F9571D"/>
    <w:rsid w:val="00FA4EAC"/>
    <w:rsid w:val="00FD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53C03-2A81-4FFB-9142-95B695BF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3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63A7"/>
    <w:rPr>
      <w:sz w:val="18"/>
      <w:szCs w:val="18"/>
    </w:rPr>
  </w:style>
  <w:style w:type="character" w:customStyle="1" w:styleId="Char">
    <w:name w:val="批注框文本 Char"/>
    <w:basedOn w:val="a0"/>
    <w:link w:val="a3"/>
    <w:uiPriority w:val="99"/>
    <w:semiHidden/>
    <w:rsid w:val="006063A7"/>
    <w:rPr>
      <w:rFonts w:ascii="Times New Roman" w:eastAsia="宋体" w:hAnsi="Times New Roman" w:cs="Times New Roman"/>
      <w:sz w:val="18"/>
      <w:szCs w:val="18"/>
    </w:rPr>
  </w:style>
  <w:style w:type="paragraph" w:styleId="a4">
    <w:name w:val="header"/>
    <w:basedOn w:val="a"/>
    <w:link w:val="Char0"/>
    <w:uiPriority w:val="99"/>
    <w:unhideWhenUsed/>
    <w:rsid w:val="006849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8491A"/>
    <w:rPr>
      <w:rFonts w:ascii="Times New Roman" w:eastAsia="宋体" w:hAnsi="Times New Roman" w:cs="Times New Roman"/>
      <w:sz w:val="18"/>
      <w:szCs w:val="18"/>
    </w:rPr>
  </w:style>
  <w:style w:type="paragraph" w:styleId="a5">
    <w:name w:val="footer"/>
    <w:basedOn w:val="a"/>
    <w:link w:val="Char1"/>
    <w:uiPriority w:val="99"/>
    <w:unhideWhenUsed/>
    <w:rsid w:val="0068491A"/>
    <w:pPr>
      <w:tabs>
        <w:tab w:val="center" w:pos="4153"/>
        <w:tab w:val="right" w:pos="8306"/>
      </w:tabs>
      <w:snapToGrid w:val="0"/>
      <w:jc w:val="left"/>
    </w:pPr>
    <w:rPr>
      <w:sz w:val="18"/>
      <w:szCs w:val="18"/>
    </w:rPr>
  </w:style>
  <w:style w:type="character" w:customStyle="1" w:styleId="Char1">
    <w:name w:val="页脚 Char"/>
    <w:basedOn w:val="a0"/>
    <w:link w:val="a5"/>
    <w:uiPriority w:val="99"/>
    <w:rsid w:val="006849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陈诗弘</dc:creator>
  <cp:lastModifiedBy>Windows 用户</cp:lastModifiedBy>
  <cp:revision>61</cp:revision>
  <cp:lastPrinted>2018-01-02T02:45:00Z</cp:lastPrinted>
  <dcterms:created xsi:type="dcterms:W3CDTF">2017-12-28T07:42:00Z</dcterms:created>
  <dcterms:modified xsi:type="dcterms:W3CDTF">2018-01-03T03:18:00Z</dcterms:modified>
</cp:coreProperties>
</file>