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1C" w:rsidRDefault="00394B1C" w:rsidP="00394B1C">
      <w:pPr>
        <w:spacing w:line="360" w:lineRule="auto"/>
        <w:rPr>
          <w:rFonts w:ascii="仿宋_GB2312" w:eastAsia="仿宋_GB2312" w:hAnsi="宋体" w:hint="eastAsia"/>
          <w:sz w:val="32"/>
          <w:szCs w:val="32"/>
        </w:rPr>
      </w:pPr>
      <w:r>
        <w:rPr>
          <w:rFonts w:ascii="仿宋_GB2312" w:eastAsia="仿宋_GB2312" w:hAnsi="宋体" w:hint="eastAsia"/>
          <w:sz w:val="32"/>
          <w:szCs w:val="32"/>
        </w:rPr>
        <w:t>附件3</w:t>
      </w:r>
    </w:p>
    <w:p w:rsidR="00394B1C" w:rsidRDefault="00394B1C" w:rsidP="00394B1C">
      <w:pPr>
        <w:spacing w:line="360" w:lineRule="auto"/>
        <w:rPr>
          <w:rFonts w:ascii="仿宋_GB2312" w:eastAsia="仿宋_GB2312" w:hAnsi="宋体" w:hint="eastAsia"/>
          <w:sz w:val="32"/>
          <w:szCs w:val="32"/>
        </w:rPr>
      </w:pPr>
    </w:p>
    <w:p w:rsidR="00394B1C" w:rsidRDefault="00394B1C" w:rsidP="00394B1C">
      <w:pPr>
        <w:spacing w:line="360" w:lineRule="auto"/>
        <w:jc w:val="center"/>
        <w:rPr>
          <w:rFonts w:ascii="宋体" w:hAnsi="宋体" w:hint="eastAsia"/>
          <w:sz w:val="44"/>
          <w:szCs w:val="44"/>
        </w:rPr>
      </w:pPr>
      <w:r>
        <w:rPr>
          <w:rFonts w:ascii="宋体" w:hAnsi="宋体" w:hint="eastAsia"/>
          <w:spacing w:val="2"/>
          <w:w w:val="93"/>
          <w:kern w:val="0"/>
          <w:sz w:val="44"/>
          <w:szCs w:val="44"/>
        </w:rPr>
        <w:t>2015年深圳市暂不纳入集中采购范围的项</w:t>
      </w:r>
      <w:r>
        <w:rPr>
          <w:rFonts w:ascii="宋体" w:hAnsi="宋体" w:hint="eastAsia"/>
          <w:spacing w:val="-13"/>
          <w:w w:val="93"/>
          <w:kern w:val="0"/>
          <w:sz w:val="44"/>
          <w:szCs w:val="44"/>
        </w:rPr>
        <w:t>目</w:t>
      </w:r>
    </w:p>
    <w:p w:rsidR="00394B1C" w:rsidRDefault="00394B1C" w:rsidP="00394B1C">
      <w:pPr>
        <w:spacing w:line="360" w:lineRule="auto"/>
        <w:rPr>
          <w:rFonts w:ascii="仿宋_GB2312" w:eastAsia="仿宋_GB2312" w:hAnsi="宋体" w:hint="eastAsia"/>
          <w:sz w:val="32"/>
          <w:szCs w:val="32"/>
        </w:rPr>
      </w:pPr>
    </w:p>
    <w:tbl>
      <w:tblPr>
        <w:tblW w:w="0" w:type="auto"/>
        <w:tblLayout w:type="fixed"/>
        <w:tblLook w:val="0000"/>
      </w:tblPr>
      <w:tblGrid>
        <w:gridCol w:w="735"/>
        <w:gridCol w:w="8193"/>
      </w:tblGrid>
      <w:tr w:rsidR="00394B1C" w:rsidTr="002568FA">
        <w:trPr>
          <w:trHeight w:val="375"/>
        </w:trPr>
        <w:tc>
          <w:tcPr>
            <w:tcW w:w="735" w:type="dxa"/>
            <w:tcBorders>
              <w:top w:val="single" w:sz="4" w:space="0" w:color="auto"/>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序号</w:t>
            </w:r>
          </w:p>
        </w:tc>
        <w:tc>
          <w:tcPr>
            <w:tcW w:w="8193" w:type="dxa"/>
            <w:tcBorders>
              <w:top w:val="single" w:sz="4" w:space="0" w:color="auto"/>
              <w:left w:val="nil"/>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项  目</w:t>
            </w:r>
          </w:p>
        </w:tc>
      </w:tr>
      <w:tr w:rsidR="00394B1C" w:rsidTr="002568FA">
        <w:trPr>
          <w:trHeight w:val="112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1</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属于《深圳市人民政府印发关于加强建设工程招标投标管理若干规定的通知》（深府〔2008〕86号,以下简称“86号文”）第三条、第六条规定的项目，按86号文的有关规定执行。</w:t>
            </w:r>
          </w:p>
        </w:tc>
      </w:tr>
      <w:tr w:rsidR="00394B1C" w:rsidTr="002568FA">
        <w:trPr>
          <w:trHeight w:val="112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2</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带有垄断性质行业服务类采购项目，如通讯管网、煤气、天然气管道租用和维护、水电线路改造、气象雷达维护、邮政投递、公益性主流媒体广告和公告、特殊地段（机场、车站）广告等。</w:t>
            </w:r>
          </w:p>
        </w:tc>
      </w:tr>
      <w:tr w:rsidR="00394B1C" w:rsidTr="002568FA">
        <w:trPr>
          <w:trHeight w:val="509"/>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3</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需要考虑地段等因素的房屋购置和租赁，演出、展览、运动场馆场地租赁。</w:t>
            </w:r>
          </w:p>
        </w:tc>
      </w:tr>
      <w:tr w:rsidR="00394B1C" w:rsidTr="002568FA">
        <w:trPr>
          <w:trHeight w:val="37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4</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活体动物、标本、化石。</w:t>
            </w:r>
          </w:p>
        </w:tc>
      </w:tr>
      <w:tr w:rsidR="00394B1C" w:rsidTr="002568FA">
        <w:trPr>
          <w:trHeight w:val="37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5</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直升机托管。</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6</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公务出国中的境外推介洽谈、招商、会议、专题宣传、展览、宴请等，非本市组团的公务出国。</w:t>
            </w:r>
          </w:p>
        </w:tc>
      </w:tr>
      <w:tr w:rsidR="00394B1C" w:rsidTr="002568FA">
        <w:trPr>
          <w:trHeight w:val="54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7</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河道水库等水务工程抢险抢修（含停水检修），深圳市市外水源工程管理，学校安全应急等突发事项抢修（含停电停水抢修）。</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8</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市委、市政府、市人大、市政协、市纪委指定召开的或指定由部门组织承办的大型会议、培训、演出等。</w:t>
            </w:r>
          </w:p>
        </w:tc>
      </w:tr>
      <w:tr w:rsidR="00394B1C" w:rsidTr="002568FA">
        <w:trPr>
          <w:trHeight w:val="375"/>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9</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非公务用车（如船艇、直升机等）使用的燃油及其他燃料，消防设备用气等。</w:t>
            </w:r>
          </w:p>
        </w:tc>
      </w:tr>
      <w:tr w:rsidR="00394B1C" w:rsidTr="002568FA">
        <w:trPr>
          <w:trHeight w:val="433"/>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10</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属非政府独立产权，且物业管理主导权不属于政府机构的物业管理。</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11</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图书类项目中的进口图书、电子图书、教材（义务教育阶段学校教材除外）及配套教学辅助用书、中外文期刊。</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hint="eastAsia"/>
                <w:kern w:val="0"/>
                <w:sz w:val="24"/>
              </w:rPr>
            </w:pPr>
            <w:r>
              <w:rPr>
                <w:rFonts w:ascii="仿宋_GB2312" w:eastAsia="仿宋_GB2312" w:hAnsi="Arial" w:cs="Arial" w:hint="eastAsia"/>
                <w:kern w:val="0"/>
                <w:sz w:val="24"/>
              </w:rPr>
              <w:t>12</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市直机关事业单位组织的全市性职业、技能资格、公职人员招录等考试场地租赁,</w:t>
            </w:r>
            <w:r>
              <w:rPr>
                <w:rFonts w:hint="eastAsia"/>
              </w:rPr>
              <w:t xml:space="preserve"> </w:t>
            </w:r>
            <w:r>
              <w:rPr>
                <w:rFonts w:ascii="仿宋_GB2312" w:eastAsia="仿宋_GB2312" w:hAnsi="Arial" w:cs="Arial" w:hint="eastAsia"/>
                <w:kern w:val="0"/>
                <w:sz w:val="24"/>
              </w:rPr>
              <w:t>公职人员招录的命题、考</w:t>
            </w:r>
            <w:proofErr w:type="gramStart"/>
            <w:r>
              <w:rPr>
                <w:rFonts w:ascii="仿宋_GB2312" w:eastAsia="仿宋_GB2312" w:hAnsi="Arial" w:cs="Arial" w:hint="eastAsia"/>
                <w:kern w:val="0"/>
                <w:sz w:val="24"/>
              </w:rPr>
              <w:t>务</w:t>
            </w:r>
            <w:proofErr w:type="gramEnd"/>
            <w:r>
              <w:rPr>
                <w:rFonts w:ascii="仿宋_GB2312" w:eastAsia="仿宋_GB2312" w:hAnsi="Arial" w:cs="Arial" w:hint="eastAsia"/>
                <w:kern w:val="0"/>
                <w:sz w:val="24"/>
              </w:rPr>
              <w:t>及体检。</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hint="eastAsia"/>
                <w:kern w:val="0"/>
                <w:sz w:val="24"/>
              </w:rPr>
            </w:pPr>
            <w:r>
              <w:rPr>
                <w:rFonts w:ascii="仿宋_GB2312" w:eastAsia="仿宋_GB2312" w:hAnsi="Arial" w:cs="Arial" w:hint="eastAsia"/>
                <w:kern w:val="0"/>
                <w:sz w:val="24"/>
              </w:rPr>
              <w:t>13</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医院</w:t>
            </w:r>
            <w:proofErr w:type="gramStart"/>
            <w:r>
              <w:rPr>
                <w:rFonts w:ascii="仿宋_GB2312" w:eastAsia="仿宋_GB2312" w:hAnsi="Arial" w:cs="Arial" w:hint="eastAsia"/>
                <w:kern w:val="0"/>
                <w:sz w:val="24"/>
              </w:rPr>
              <w:t>医用布草洗涤</w:t>
            </w:r>
            <w:proofErr w:type="gramEnd"/>
            <w:r>
              <w:rPr>
                <w:rFonts w:ascii="仿宋_GB2312" w:eastAsia="仿宋_GB2312" w:hAnsi="Arial" w:cs="Arial" w:hint="eastAsia"/>
                <w:kern w:val="0"/>
                <w:sz w:val="24"/>
              </w:rPr>
              <w:t>消毒服务。</w:t>
            </w:r>
          </w:p>
        </w:tc>
      </w:tr>
      <w:tr w:rsidR="00394B1C" w:rsidTr="002568FA">
        <w:trPr>
          <w:trHeight w:val="750"/>
        </w:trPr>
        <w:tc>
          <w:tcPr>
            <w:tcW w:w="735" w:type="dxa"/>
            <w:tcBorders>
              <w:top w:val="nil"/>
              <w:left w:val="single" w:sz="4" w:space="0" w:color="auto"/>
              <w:bottom w:val="single" w:sz="4" w:space="0" w:color="auto"/>
              <w:right w:val="single" w:sz="4" w:space="0" w:color="auto"/>
            </w:tcBorders>
            <w:vAlign w:val="center"/>
          </w:tcPr>
          <w:p w:rsidR="00394B1C" w:rsidRDefault="00394B1C"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14</w:t>
            </w:r>
          </w:p>
        </w:tc>
        <w:tc>
          <w:tcPr>
            <w:tcW w:w="8193" w:type="dxa"/>
            <w:tcBorders>
              <w:top w:val="nil"/>
              <w:left w:val="nil"/>
              <w:bottom w:val="single" w:sz="4" w:space="0" w:color="auto"/>
              <w:right w:val="single" w:sz="4" w:space="0" w:color="auto"/>
            </w:tcBorders>
            <w:vAlign w:val="center"/>
          </w:tcPr>
          <w:p w:rsidR="00394B1C" w:rsidRDefault="00394B1C" w:rsidP="002568FA">
            <w:pPr>
              <w:widowControl/>
              <w:jc w:val="left"/>
              <w:rPr>
                <w:rFonts w:ascii="仿宋_GB2312" w:eastAsia="仿宋_GB2312" w:hAnsi="Arial" w:cs="Arial"/>
                <w:kern w:val="0"/>
                <w:sz w:val="24"/>
              </w:rPr>
            </w:pPr>
            <w:proofErr w:type="gramStart"/>
            <w:r>
              <w:rPr>
                <w:rFonts w:ascii="仿宋_GB2312" w:eastAsia="仿宋_GB2312" w:hAnsi="Arial" w:cs="Arial" w:hint="eastAsia"/>
                <w:kern w:val="0"/>
                <w:sz w:val="24"/>
              </w:rPr>
              <w:t>公安单警装备</w:t>
            </w:r>
            <w:proofErr w:type="gramEnd"/>
            <w:r>
              <w:rPr>
                <w:rFonts w:ascii="仿宋_GB2312" w:eastAsia="仿宋_GB2312" w:hAnsi="Arial" w:cs="Arial" w:hint="eastAsia"/>
                <w:kern w:val="0"/>
                <w:sz w:val="24"/>
              </w:rPr>
              <w:t>，包括：警棍、手铐、催泪喷射器、强光手电、警用制式刀具、警用水壶、急救包、多功能腰带、防割手套、防刺服、警用装备包和</w:t>
            </w:r>
            <w:proofErr w:type="gramStart"/>
            <w:r>
              <w:rPr>
                <w:rFonts w:ascii="仿宋_GB2312" w:eastAsia="仿宋_GB2312" w:hAnsi="Arial" w:cs="Arial" w:hint="eastAsia"/>
                <w:kern w:val="0"/>
                <w:sz w:val="24"/>
              </w:rPr>
              <w:t>单警音</w:t>
            </w:r>
            <w:proofErr w:type="gramEnd"/>
            <w:r>
              <w:rPr>
                <w:rFonts w:ascii="仿宋_GB2312" w:eastAsia="仿宋_GB2312" w:hAnsi="Arial" w:cs="Arial" w:hint="eastAsia"/>
                <w:kern w:val="0"/>
                <w:sz w:val="24"/>
              </w:rPr>
              <w:t>视频执法记录仪。</w:t>
            </w:r>
          </w:p>
        </w:tc>
      </w:tr>
    </w:tbl>
    <w:p w:rsidR="008F1573" w:rsidRPr="00394B1C" w:rsidRDefault="00394B1C" w:rsidP="00394B1C">
      <w:pPr>
        <w:spacing w:line="360" w:lineRule="auto"/>
        <w:ind w:firstLineChars="200" w:firstLine="640"/>
      </w:pPr>
      <w:r>
        <w:rPr>
          <w:rFonts w:ascii="仿宋_GB2312" w:eastAsia="仿宋_GB2312" w:hAnsi="宋体" w:hint="eastAsia"/>
          <w:sz w:val="32"/>
          <w:szCs w:val="32"/>
        </w:rPr>
        <w:t>说明：以上项目，暂不纳入2015年政府集中采购范围，暂不编报政府采购预算。</w:t>
      </w:r>
    </w:p>
    <w:sectPr w:rsidR="008F1573" w:rsidRPr="00394B1C">
      <w:footerReference w:type="even" r:id="rId6"/>
      <w:footerReference w:type="default" r:id="rId7"/>
      <w:pgSz w:w="11906" w:h="16838"/>
      <w:pgMar w:top="1440" w:right="1797" w:bottom="1440" w:left="1797"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75" w:rsidRDefault="00234E75" w:rsidP="00394B1C">
      <w:r>
        <w:separator/>
      </w:r>
    </w:p>
  </w:endnote>
  <w:endnote w:type="continuationSeparator" w:id="0">
    <w:p w:rsidR="00234E75" w:rsidRDefault="00234E75" w:rsidP="00394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F" w:rsidRDefault="00234E75">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AE295F" w:rsidRDefault="00234E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F" w:rsidRPr="00430408" w:rsidRDefault="00234E75" w:rsidP="00430408">
    <w:pPr>
      <w:pStyle w:val="a4"/>
      <w:framePr w:wrap="around" w:vAnchor="text" w:hAnchor="margin" w:xAlign="outside" w:y="1"/>
      <w:ind w:leftChars="150" w:left="315" w:rightChars="150" w:right="315"/>
      <w:rPr>
        <w:rStyle w:val="a5"/>
        <w:rFonts w:ascii="宋体" w:hAnsi="宋体"/>
        <w:sz w:val="28"/>
        <w:szCs w:val="28"/>
      </w:rPr>
    </w:pPr>
    <w:r w:rsidRPr="00430408">
      <w:rPr>
        <w:rFonts w:ascii="宋体" w:hAnsi="宋体"/>
        <w:sz w:val="28"/>
        <w:szCs w:val="28"/>
      </w:rPr>
      <w:fldChar w:fldCharType="begin"/>
    </w:r>
    <w:r w:rsidRPr="00430408">
      <w:rPr>
        <w:rStyle w:val="a5"/>
        <w:rFonts w:ascii="宋体" w:hAnsi="宋体"/>
        <w:sz w:val="28"/>
        <w:szCs w:val="28"/>
      </w:rPr>
      <w:instrText xml:space="preserve">PAGE  </w:instrText>
    </w:r>
    <w:r w:rsidRPr="00430408">
      <w:rPr>
        <w:rFonts w:ascii="宋体" w:hAnsi="宋体"/>
        <w:sz w:val="28"/>
        <w:szCs w:val="28"/>
      </w:rPr>
      <w:fldChar w:fldCharType="separate"/>
    </w:r>
    <w:r w:rsidR="00394B1C">
      <w:rPr>
        <w:rStyle w:val="a5"/>
        <w:rFonts w:ascii="宋体" w:hAnsi="宋体"/>
        <w:noProof/>
        <w:sz w:val="28"/>
        <w:szCs w:val="28"/>
      </w:rPr>
      <w:t>1</w:t>
    </w:r>
    <w:r w:rsidRPr="00430408">
      <w:rPr>
        <w:rFonts w:ascii="宋体" w:hAnsi="宋体"/>
        <w:sz w:val="28"/>
        <w:szCs w:val="28"/>
      </w:rPr>
      <w:fldChar w:fldCharType="end"/>
    </w:r>
  </w:p>
  <w:p w:rsidR="00AE295F" w:rsidRDefault="00234E75">
    <w:pPr>
      <w:pStyle w:val="a4"/>
      <w:ind w:right="360" w:firstLineChars="2850" w:firstLine="7980"/>
      <w:rPr>
        <w:rFonts w:hint="eastAsia"/>
        <w:sz w:val="28"/>
        <w:szCs w:val="28"/>
      </w:rPr>
    </w:pPr>
  </w:p>
  <w:p w:rsidR="00AE295F" w:rsidRDefault="00234E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75" w:rsidRDefault="00234E75" w:rsidP="00394B1C">
      <w:r>
        <w:separator/>
      </w:r>
    </w:p>
  </w:footnote>
  <w:footnote w:type="continuationSeparator" w:id="0">
    <w:p w:rsidR="00234E75" w:rsidRDefault="00234E75" w:rsidP="00394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B1C"/>
    <w:rsid w:val="00234E75"/>
    <w:rsid w:val="00394B1C"/>
    <w:rsid w:val="008A7F5E"/>
    <w:rsid w:val="008F1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B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4B1C"/>
    <w:rPr>
      <w:sz w:val="18"/>
      <w:szCs w:val="18"/>
    </w:rPr>
  </w:style>
  <w:style w:type="paragraph" w:styleId="a4">
    <w:name w:val="footer"/>
    <w:basedOn w:val="a"/>
    <w:link w:val="Char0"/>
    <w:unhideWhenUsed/>
    <w:rsid w:val="00394B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94B1C"/>
    <w:rPr>
      <w:sz w:val="18"/>
      <w:szCs w:val="18"/>
    </w:rPr>
  </w:style>
  <w:style w:type="character" w:styleId="a5">
    <w:name w:val="page number"/>
    <w:basedOn w:val="a0"/>
    <w:rsid w:val="00394B1C"/>
  </w:style>
  <w:style w:type="paragraph" w:customStyle="1" w:styleId="CharCharCharCharCharChar1Char">
    <w:name w:val="Char Char Char Char Char Char1 Char"/>
    <w:basedOn w:val="a6"/>
    <w:rsid w:val="00394B1C"/>
    <w:pPr>
      <w:shd w:val="clear" w:color="auto" w:fill="000080"/>
      <w:adjustRightInd w:val="0"/>
      <w:spacing w:line="436" w:lineRule="exact"/>
      <w:ind w:left="357"/>
      <w:jc w:val="left"/>
      <w:outlineLvl w:val="3"/>
    </w:pPr>
    <w:rPr>
      <w:rFonts w:ascii="Times New Roman"/>
      <w:sz w:val="21"/>
      <w:szCs w:val="24"/>
    </w:rPr>
  </w:style>
  <w:style w:type="paragraph" w:styleId="a6">
    <w:name w:val="Document Map"/>
    <w:basedOn w:val="a"/>
    <w:link w:val="Char1"/>
    <w:uiPriority w:val="99"/>
    <w:semiHidden/>
    <w:unhideWhenUsed/>
    <w:rsid w:val="00394B1C"/>
    <w:rPr>
      <w:rFonts w:ascii="宋体"/>
      <w:sz w:val="18"/>
      <w:szCs w:val="18"/>
    </w:rPr>
  </w:style>
  <w:style w:type="character" w:customStyle="1" w:styleId="Char1">
    <w:name w:val="文档结构图 Char"/>
    <w:basedOn w:val="a0"/>
    <w:link w:val="a6"/>
    <w:uiPriority w:val="99"/>
    <w:semiHidden/>
    <w:rsid w:val="00394B1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DELL</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2015-01-22T08:12:00Z</dcterms:created>
  <dcterms:modified xsi:type="dcterms:W3CDTF">2015-01-22T08:13:00Z</dcterms:modified>
</cp:coreProperties>
</file>