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96" w:lineRule="atLeast"/>
        <w:rPr>
          <w:rFonts w:ascii="宋体" w:hAnsi="宋体" w:cs="方正小标宋_GBK"/>
          <w:sz w:val="24"/>
          <w:szCs w:val="24"/>
        </w:rPr>
      </w:pPr>
      <w:r>
        <w:rPr>
          <w:rFonts w:hint="eastAsia" w:ascii="宋体" w:hAnsi="宋体" w:cs="黑体"/>
          <w:sz w:val="24"/>
          <w:szCs w:val="24"/>
        </w:rPr>
        <w:t>附件</w:t>
      </w:r>
    </w:p>
    <w:p>
      <w:pPr>
        <w:spacing w:line="0" w:lineRule="atLeast"/>
        <w:jc w:val="center"/>
        <w:rPr>
          <w:rFonts w:hint="eastAsia" w:ascii="宋体" w:hAnsi="宋体"/>
          <w:sz w:val="36"/>
          <w:szCs w:val="36"/>
        </w:rPr>
      </w:pPr>
      <w:r>
        <w:rPr>
          <w:rFonts w:hint="eastAsia" w:ascii="宋体" w:hAnsi="宋体"/>
          <w:sz w:val="36"/>
          <w:szCs w:val="36"/>
        </w:rPr>
        <w:t>中国（广东）自由贸易试验区深圳前海蛇口片区第六批</w:t>
      </w:r>
    </w:p>
    <w:p>
      <w:pPr>
        <w:spacing w:after="120" w:afterLines="50" w:line="0" w:lineRule="atLeast"/>
        <w:jc w:val="center"/>
        <w:rPr>
          <w:rFonts w:ascii="宋体" w:hAnsi="宋体"/>
          <w:sz w:val="36"/>
          <w:szCs w:val="36"/>
        </w:rPr>
      </w:pPr>
      <w:r>
        <w:rPr>
          <w:rFonts w:hint="eastAsia" w:ascii="宋体" w:hAnsi="宋体"/>
          <w:sz w:val="36"/>
          <w:szCs w:val="36"/>
        </w:rPr>
        <w:t>改革创新经验复制推广工作任务分工表</w:t>
      </w:r>
    </w:p>
    <w:tbl>
      <w:tblPr>
        <w:tblStyle w:val="4"/>
        <w:tblW w:w="4950" w:type="pct"/>
        <w:jc w:val="center"/>
        <w:tblLayout w:type="fixed"/>
        <w:tblCellMar>
          <w:top w:w="0" w:type="dxa"/>
          <w:left w:w="108" w:type="dxa"/>
          <w:bottom w:w="0" w:type="dxa"/>
          <w:right w:w="108" w:type="dxa"/>
        </w:tblCellMar>
      </w:tblPr>
      <w:tblGrid>
        <w:gridCol w:w="548"/>
        <w:gridCol w:w="1262"/>
        <w:gridCol w:w="10212"/>
        <w:gridCol w:w="993"/>
        <w:gridCol w:w="1017"/>
      </w:tblGrid>
      <w:tr>
        <w:tblPrEx>
          <w:tblCellMar>
            <w:top w:w="0" w:type="dxa"/>
            <w:left w:w="108" w:type="dxa"/>
            <w:bottom w:w="0" w:type="dxa"/>
            <w:right w:w="108" w:type="dxa"/>
          </w:tblCellMar>
        </w:tblPrEx>
        <w:trPr>
          <w:trHeight w:val="284" w:hRule="atLeast"/>
          <w:tblHeader/>
          <w:jc w:val="center"/>
        </w:trPr>
        <w:tc>
          <w:tcPr>
            <w:tcW w:w="51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119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试点任务</w:t>
            </w:r>
          </w:p>
        </w:tc>
        <w:tc>
          <w:tcPr>
            <w:tcW w:w="96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实施内容</w:t>
            </w:r>
          </w:p>
        </w:tc>
        <w:tc>
          <w:tcPr>
            <w:tcW w:w="93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牵头单位</w:t>
            </w:r>
          </w:p>
        </w:tc>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推广范围</w:t>
            </w:r>
          </w:p>
        </w:tc>
      </w:tr>
      <w:tr>
        <w:tblPrEx>
          <w:tblCellMar>
            <w:top w:w="0" w:type="dxa"/>
            <w:left w:w="108" w:type="dxa"/>
            <w:bottom w:w="0" w:type="dxa"/>
            <w:right w:w="108" w:type="dxa"/>
          </w:tblCellMar>
        </w:tblPrEx>
        <w:trPr>
          <w:trHeight w:val="284" w:hRule="atLeast"/>
          <w:jc w:val="center"/>
        </w:trPr>
        <w:tc>
          <w:tcPr>
            <w:tcW w:w="13235" w:type="dxa"/>
            <w:gridSpan w:val="5"/>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ind w:left="-63" w:leftChars="-30" w:right="-63" w:rightChars="-30"/>
              <w:rPr>
                <w:rFonts w:hint="eastAsia" w:ascii="黑体" w:hAnsi="宋体" w:eastAsia="黑体" w:cs="仿宋_GB2312"/>
                <w:kern w:val="0"/>
                <w:szCs w:val="21"/>
              </w:rPr>
            </w:pPr>
            <w:r>
              <w:rPr>
                <w:rFonts w:hint="eastAsia" w:ascii="黑体" w:hAnsi="宋体" w:eastAsia="黑体" w:cs="仿宋_GB2312"/>
                <w:kern w:val="0"/>
                <w:szCs w:val="21"/>
              </w:rPr>
              <w:t>一、投资便利化（8项）</w:t>
            </w:r>
          </w:p>
        </w:tc>
      </w:tr>
      <w:tr>
        <w:tblPrEx>
          <w:tblCellMar>
            <w:top w:w="0" w:type="dxa"/>
            <w:left w:w="108" w:type="dxa"/>
            <w:bottom w:w="0" w:type="dxa"/>
            <w:right w:w="108" w:type="dxa"/>
          </w:tblCellMar>
        </w:tblPrEx>
        <w:trPr>
          <w:trHeight w:val="284" w:hRule="atLeast"/>
          <w:jc w:val="center"/>
        </w:trPr>
        <w:tc>
          <w:tcPr>
            <w:tcW w:w="517" w:type="dxa"/>
            <w:tcBorders>
              <w:top w:val="nil"/>
              <w:left w:val="single" w:color="000000" w:sz="4" w:space="0"/>
              <w:bottom w:val="single" w:color="000000" w:sz="4" w:space="0"/>
              <w:right w:val="single" w:color="000000" w:sz="4" w:space="0"/>
            </w:tcBorders>
            <w:noWrap/>
            <w:vAlign w:val="center"/>
          </w:tcPr>
          <w:p>
            <w:pPr>
              <w:widowControl/>
              <w:spacing w:line="266" w:lineRule="exact"/>
              <w:ind w:left="-63" w:leftChars="-30" w:right="-63" w:rightChars="-30"/>
              <w:jc w:val="center"/>
              <w:rPr>
                <w:rFonts w:ascii="宋体" w:hAnsi="宋体" w:cs="仿宋_GB2312"/>
                <w:kern w:val="0"/>
                <w:szCs w:val="21"/>
              </w:rPr>
            </w:pPr>
            <w:r>
              <w:rPr>
                <w:rFonts w:hint="eastAsia" w:ascii="宋体" w:hAnsi="宋体" w:cs="仿宋_GB2312"/>
                <w:kern w:val="0"/>
                <w:szCs w:val="21"/>
              </w:rPr>
              <w:t>1</w:t>
            </w:r>
          </w:p>
        </w:tc>
        <w:tc>
          <w:tcPr>
            <w:tcW w:w="1190" w:type="dxa"/>
            <w:tcBorders>
              <w:top w:val="nil"/>
              <w:left w:val="nil"/>
              <w:bottom w:val="single" w:color="000000"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覆盖科创智慧园区全生命周期的智慧平台</w:t>
            </w:r>
          </w:p>
        </w:tc>
        <w:tc>
          <w:tcPr>
            <w:tcW w:w="9632" w:type="dxa"/>
            <w:tcBorders>
              <w:top w:val="nil"/>
              <w:left w:val="nil"/>
              <w:bottom w:val="single" w:color="000000"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智慧平台提供包含人才服务、智慧停车、云直播、住所托管、严选市场、投资平台、政策评测、创业平台等十余项特色服务，为创业期的入驻企业提供全方位增值服务。专项投资平台将产业政策、空间等信息转化为标准化数据，精准推送潜力项目，形成全周期监测闭环。政策测评服务平台通过产业政策匹配信息处理方法，为企业及人才提供快速而全面的产业政策智慧匹配和推送服务，为创业青年及中小微企业打造创新创业全过程的服务体系。</w:t>
            </w:r>
          </w:p>
        </w:tc>
        <w:tc>
          <w:tcPr>
            <w:tcW w:w="937" w:type="dxa"/>
            <w:tcBorders>
              <w:top w:val="nil"/>
              <w:left w:val="nil"/>
              <w:bottom w:val="single" w:color="000000" w:sz="4" w:space="0"/>
              <w:right w:val="single" w:color="000000" w:sz="4" w:space="0"/>
            </w:tcBorders>
            <w:noWrap w:val="0"/>
            <w:vAlign w:val="center"/>
          </w:tcPr>
          <w:p>
            <w:pPr>
              <w:widowControl/>
              <w:spacing w:line="266" w:lineRule="exact"/>
              <w:ind w:left="-63" w:leftChars="-30" w:right="-63" w:rightChars="-30"/>
              <w:jc w:val="center"/>
              <w:rPr>
                <w:rFonts w:ascii="宋体" w:hAnsi="宋体" w:cs="仿宋_GB2312"/>
                <w:kern w:val="0"/>
                <w:szCs w:val="21"/>
              </w:rPr>
            </w:pPr>
            <w:r>
              <w:rPr>
                <w:rFonts w:hint="eastAsia" w:ascii="宋体" w:hAnsi="宋体" w:cs="仿宋_GB2312"/>
                <w:kern w:val="0"/>
                <w:szCs w:val="21"/>
              </w:rPr>
              <w:t>各企业</w:t>
            </w:r>
          </w:p>
        </w:tc>
        <w:tc>
          <w:tcPr>
            <w:tcW w:w="959"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17" w:type="dxa"/>
            <w:tcBorders>
              <w:top w:val="nil"/>
              <w:left w:val="single" w:color="000000" w:sz="4" w:space="0"/>
              <w:bottom w:val="single" w:color="auto" w:sz="4" w:space="0"/>
              <w:right w:val="single" w:color="000000" w:sz="4" w:space="0"/>
            </w:tcBorders>
            <w:noWrap/>
            <w:vAlign w:val="center"/>
          </w:tcPr>
          <w:p>
            <w:pPr>
              <w:widowControl/>
              <w:spacing w:line="266" w:lineRule="exact"/>
              <w:ind w:left="-63" w:leftChars="-30" w:right="-63" w:rightChars="-30"/>
              <w:jc w:val="center"/>
              <w:rPr>
                <w:rFonts w:ascii="宋体" w:hAnsi="宋体" w:cs="仿宋_GB2312"/>
                <w:kern w:val="0"/>
                <w:szCs w:val="21"/>
              </w:rPr>
            </w:pPr>
            <w:r>
              <w:rPr>
                <w:rFonts w:hint="eastAsia" w:ascii="宋体" w:hAnsi="宋体" w:cs="仿宋_GB2312"/>
                <w:kern w:val="0"/>
                <w:szCs w:val="21"/>
              </w:rPr>
              <w:t>2</w:t>
            </w:r>
          </w:p>
        </w:tc>
        <w:tc>
          <w:tcPr>
            <w:tcW w:w="1190" w:type="dxa"/>
            <w:tcBorders>
              <w:top w:val="nil"/>
              <w:left w:val="nil"/>
              <w:bottom w:val="single" w:color="auto"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电子营业执照“一照通”应用拓展</w:t>
            </w:r>
          </w:p>
        </w:tc>
        <w:tc>
          <w:tcPr>
            <w:tcW w:w="9632" w:type="dxa"/>
            <w:tcBorders>
              <w:top w:val="nil"/>
              <w:left w:val="nil"/>
              <w:bottom w:val="single" w:color="auto"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企业办事人员携带电子营业执照到银行办理业务，银行向企业出示与市商事登记系统衔接的政银二维码，验证企业身份真实性。银行识别企业电子营业执照信息后，可下载及打印电子营业执照，系统也将自动留档电子营业执照并与账户绑定。银行前台通过调用企业电子营业执照，连同需上传的影像资料一并提交后台审核通过后，将电子营业执照随账户开户资料一同保管，实现电子营业执照和电子印章同步发放。全市商事主体在完成商事登记的同时，系统自动生成电子营业执照和电子印章（一套四枚，包括法定名称章、财务专用章、合同专用章、负责人章），商事主体可免费领取使用。</w:t>
            </w:r>
          </w:p>
        </w:tc>
        <w:tc>
          <w:tcPr>
            <w:tcW w:w="937" w:type="dxa"/>
            <w:tcBorders>
              <w:top w:val="nil"/>
              <w:left w:val="nil"/>
              <w:bottom w:val="single" w:color="auto"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市市场监管局</w:t>
            </w:r>
          </w:p>
        </w:tc>
        <w:tc>
          <w:tcPr>
            <w:tcW w:w="959" w:type="dxa"/>
            <w:tcBorders>
              <w:top w:val="nil"/>
              <w:left w:val="nil"/>
              <w:bottom w:val="single" w:color="auto"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17" w:type="dxa"/>
            <w:tcBorders>
              <w:top w:val="single" w:color="auto" w:sz="4" w:space="0"/>
              <w:left w:val="single" w:color="auto" w:sz="4" w:space="0"/>
              <w:bottom w:val="single" w:color="auto" w:sz="4" w:space="0"/>
              <w:right w:val="single" w:color="000000" w:sz="4" w:space="0"/>
            </w:tcBorders>
            <w:noWrap/>
            <w:vAlign w:val="center"/>
          </w:tcPr>
          <w:p>
            <w:pPr>
              <w:widowControl/>
              <w:spacing w:line="266" w:lineRule="exact"/>
              <w:ind w:left="-63" w:leftChars="-30" w:right="-63" w:rightChars="-30"/>
              <w:jc w:val="center"/>
              <w:rPr>
                <w:rFonts w:ascii="宋体" w:hAnsi="宋体" w:cs="仿宋_GB2312"/>
                <w:kern w:val="0"/>
                <w:szCs w:val="21"/>
              </w:rPr>
            </w:pPr>
            <w:r>
              <w:rPr>
                <w:rFonts w:hint="eastAsia" w:ascii="宋体" w:hAnsi="宋体" w:cs="仿宋_GB2312"/>
                <w:kern w:val="0"/>
                <w:szCs w:val="21"/>
              </w:rPr>
              <w:t>3</w:t>
            </w:r>
          </w:p>
        </w:tc>
        <w:tc>
          <w:tcPr>
            <w:tcW w:w="1190" w:type="dxa"/>
            <w:tcBorders>
              <w:top w:val="single" w:color="auto" w:sz="4" w:space="0"/>
              <w:left w:val="nil"/>
              <w:bottom w:val="single" w:color="auto"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跨区域税收事项全流程通办</w:t>
            </w:r>
          </w:p>
        </w:tc>
        <w:tc>
          <w:tcPr>
            <w:tcW w:w="9632" w:type="dxa"/>
            <w:tcBorders>
              <w:top w:val="single" w:color="auto" w:sz="4" w:space="0"/>
              <w:left w:val="nil"/>
              <w:bottom w:val="single" w:color="auto"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在跨区域涉税事项报告、增值税及其附加预缴申报、存款账户账号报告、网签三方协议等已有网上功能的基础上，为纳税人提供了跨区域涉税事项反馈、跨区域涉税事项延期、跨区域涉税事项报验、企业所得税预缴和个人所得税核定征收等功能，实现了跨区域涉税事项网上全流程办理，并将相关功能归集成套餐，按本地企业外出经营和异地企业来深经营两类套餐进行差异化管理，纳税人可方便快捷定位需要使用的功能。</w:t>
            </w:r>
          </w:p>
        </w:tc>
        <w:tc>
          <w:tcPr>
            <w:tcW w:w="937" w:type="dxa"/>
            <w:tcBorders>
              <w:top w:val="single" w:color="auto" w:sz="4" w:space="0"/>
              <w:left w:val="nil"/>
              <w:bottom w:val="single" w:color="auto"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深圳市税务局</w:t>
            </w:r>
          </w:p>
        </w:tc>
        <w:tc>
          <w:tcPr>
            <w:tcW w:w="959" w:type="dxa"/>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17" w:type="dxa"/>
            <w:tcBorders>
              <w:top w:val="single" w:color="auto" w:sz="4" w:space="0"/>
              <w:left w:val="single" w:color="000000" w:sz="4" w:space="0"/>
              <w:bottom w:val="single" w:color="000000" w:sz="4" w:space="0"/>
              <w:right w:val="single" w:color="000000" w:sz="4" w:space="0"/>
            </w:tcBorders>
            <w:noWrap/>
            <w:vAlign w:val="center"/>
          </w:tcPr>
          <w:p>
            <w:pPr>
              <w:widowControl/>
              <w:spacing w:line="266" w:lineRule="exact"/>
              <w:ind w:left="-63" w:leftChars="-30" w:right="-63" w:rightChars="-30"/>
              <w:jc w:val="center"/>
              <w:rPr>
                <w:rFonts w:ascii="宋体" w:hAnsi="宋体" w:cs="仿宋_GB2312"/>
                <w:kern w:val="0"/>
                <w:szCs w:val="21"/>
              </w:rPr>
            </w:pPr>
            <w:r>
              <w:rPr>
                <w:rFonts w:hint="eastAsia" w:ascii="宋体" w:hAnsi="宋体" w:cs="仿宋_GB2312"/>
                <w:kern w:val="0"/>
                <w:szCs w:val="21"/>
              </w:rPr>
              <w:t>4</w:t>
            </w:r>
          </w:p>
        </w:tc>
        <w:tc>
          <w:tcPr>
            <w:tcW w:w="1190" w:type="dxa"/>
            <w:tcBorders>
              <w:top w:val="single" w:color="auto" w:sz="4" w:space="0"/>
              <w:left w:val="nil"/>
              <w:bottom w:val="single" w:color="000000"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新开办企业税务9环节“套餐”网上办</w:t>
            </w:r>
          </w:p>
        </w:tc>
        <w:tc>
          <w:tcPr>
            <w:tcW w:w="9632" w:type="dxa"/>
            <w:tcBorders>
              <w:top w:val="single" w:color="auto" w:sz="4" w:space="0"/>
              <w:left w:val="nil"/>
              <w:bottom w:val="single" w:color="000000"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将原有8项涉税事项精简为增值税一般纳税人登记、发票票种核定、增值税专用发票最高开票限额行政许可、增值税税控系统专用设备申请、发票领用等5项。纳税人通过系统可申请增值税税控发票及税务免费Ukey，在符合监控情况下，相关文书审批由系统实现免审核及审批处理。受理成功后，纳税人可前往政务大厅领取或申请免费邮寄。</w:t>
            </w:r>
          </w:p>
        </w:tc>
        <w:tc>
          <w:tcPr>
            <w:tcW w:w="937" w:type="dxa"/>
            <w:tcBorders>
              <w:top w:val="single" w:color="auto" w:sz="4" w:space="0"/>
              <w:left w:val="nil"/>
              <w:bottom w:val="single" w:color="000000"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深圳市税务局</w:t>
            </w:r>
          </w:p>
        </w:tc>
        <w:tc>
          <w:tcPr>
            <w:tcW w:w="959" w:type="dxa"/>
            <w:tcBorders>
              <w:top w:val="single" w:color="auto" w:sz="4" w:space="0"/>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17" w:type="dxa"/>
            <w:tcBorders>
              <w:top w:val="nil"/>
              <w:left w:val="single" w:color="000000" w:sz="4" w:space="0"/>
              <w:bottom w:val="single" w:color="000000" w:sz="4" w:space="0"/>
              <w:right w:val="single" w:color="000000" w:sz="4" w:space="0"/>
            </w:tcBorders>
            <w:noWrap/>
            <w:vAlign w:val="center"/>
          </w:tcPr>
          <w:p>
            <w:pPr>
              <w:widowControl/>
              <w:spacing w:line="266" w:lineRule="exact"/>
              <w:ind w:left="-63" w:leftChars="-30" w:right="-63" w:rightChars="-30"/>
              <w:jc w:val="center"/>
              <w:rPr>
                <w:rFonts w:ascii="宋体" w:hAnsi="宋体" w:cs="仿宋_GB2312"/>
                <w:kern w:val="0"/>
                <w:szCs w:val="21"/>
              </w:rPr>
            </w:pPr>
            <w:r>
              <w:rPr>
                <w:rFonts w:hint="eastAsia" w:ascii="宋体" w:hAnsi="宋体" w:cs="仿宋_GB2312"/>
                <w:kern w:val="0"/>
                <w:szCs w:val="21"/>
              </w:rPr>
              <w:t>5</w:t>
            </w:r>
          </w:p>
        </w:tc>
        <w:tc>
          <w:tcPr>
            <w:tcW w:w="1190" w:type="dxa"/>
            <w:tcBorders>
              <w:top w:val="nil"/>
              <w:left w:val="nil"/>
              <w:bottom w:val="single" w:color="000000"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区块链税务管理服务云平台</w:t>
            </w:r>
          </w:p>
        </w:tc>
        <w:tc>
          <w:tcPr>
            <w:tcW w:w="9632" w:type="dxa"/>
            <w:tcBorders>
              <w:top w:val="nil"/>
              <w:left w:val="nil"/>
              <w:bottom w:val="single" w:color="000000"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借助区块链底层技术，启动“区块链云平台”和数据导入验证功能，实现平台数据不可篡改、多中心、可追溯，拓展了区块链发票在税务、政府和企业的应用场景。平台推动税务与政府、企业三者间的互联互通，实现纳服、征管、风控三大税收功能，通过税企实时交互、人工智能咨询与电子税务局配合，对接相关部门，实现全流程网上办税。通过“区块链技术国产自主产权的桌面操作系统人脸识别登录”三重信息安全保障，确保链上链下数据安全。</w:t>
            </w:r>
          </w:p>
        </w:tc>
        <w:tc>
          <w:tcPr>
            <w:tcW w:w="937" w:type="dxa"/>
            <w:tcBorders>
              <w:top w:val="nil"/>
              <w:left w:val="nil"/>
              <w:bottom w:val="single" w:color="000000" w:sz="4" w:space="0"/>
              <w:right w:val="single" w:color="000000" w:sz="4" w:space="0"/>
            </w:tcBorders>
            <w:noWrap w:val="0"/>
            <w:vAlign w:val="center"/>
          </w:tcPr>
          <w:p>
            <w:pPr>
              <w:widowControl/>
              <w:spacing w:line="266" w:lineRule="exact"/>
              <w:ind w:left="-63" w:leftChars="-30" w:right="-63" w:rightChars="-30"/>
              <w:rPr>
                <w:rFonts w:ascii="宋体" w:hAnsi="宋体" w:cs="仿宋_GB2312"/>
                <w:kern w:val="0"/>
                <w:szCs w:val="21"/>
              </w:rPr>
            </w:pPr>
            <w:r>
              <w:rPr>
                <w:rFonts w:hint="eastAsia" w:ascii="宋体" w:hAnsi="宋体" w:cs="仿宋_GB2312"/>
                <w:kern w:val="0"/>
                <w:szCs w:val="21"/>
              </w:rPr>
              <w:t>深圳市税务局</w:t>
            </w:r>
          </w:p>
        </w:tc>
        <w:tc>
          <w:tcPr>
            <w:tcW w:w="959"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bl>
    <w:p>
      <w:pPr>
        <w:spacing w:line="240" w:lineRule="exact"/>
        <w:rPr>
          <w:rFonts w:hint="eastAsia"/>
        </w:rPr>
      </w:pPr>
    </w:p>
    <w:tbl>
      <w:tblPr>
        <w:tblStyle w:val="4"/>
        <w:tblW w:w="4950" w:type="pct"/>
        <w:jc w:val="center"/>
        <w:tblLayout w:type="fixed"/>
        <w:tblCellMar>
          <w:top w:w="0" w:type="dxa"/>
          <w:left w:w="108" w:type="dxa"/>
          <w:bottom w:w="0" w:type="dxa"/>
          <w:right w:w="108" w:type="dxa"/>
        </w:tblCellMar>
      </w:tblPr>
      <w:tblGrid>
        <w:gridCol w:w="548"/>
        <w:gridCol w:w="1262"/>
        <w:gridCol w:w="10212"/>
        <w:gridCol w:w="993"/>
        <w:gridCol w:w="1017"/>
      </w:tblGrid>
      <w:tr>
        <w:tblPrEx>
          <w:tblCellMar>
            <w:top w:w="0" w:type="dxa"/>
            <w:left w:w="108" w:type="dxa"/>
            <w:bottom w:w="0" w:type="dxa"/>
            <w:right w:w="108" w:type="dxa"/>
          </w:tblCellMar>
        </w:tblPrEx>
        <w:trPr>
          <w:trHeight w:val="284" w:hRule="atLeast"/>
          <w:tblHeader/>
          <w:jc w:val="center"/>
        </w:trPr>
        <w:tc>
          <w:tcPr>
            <w:tcW w:w="51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119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试点任务</w:t>
            </w:r>
          </w:p>
        </w:tc>
        <w:tc>
          <w:tcPr>
            <w:tcW w:w="963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实施内容</w:t>
            </w:r>
          </w:p>
        </w:tc>
        <w:tc>
          <w:tcPr>
            <w:tcW w:w="93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牵头单位</w:t>
            </w:r>
          </w:p>
        </w:tc>
        <w:tc>
          <w:tcPr>
            <w:tcW w:w="95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推广范围</w:t>
            </w:r>
          </w:p>
        </w:tc>
      </w:tr>
      <w:tr>
        <w:tblPrEx>
          <w:tblCellMar>
            <w:top w:w="0" w:type="dxa"/>
            <w:left w:w="108" w:type="dxa"/>
            <w:bottom w:w="0" w:type="dxa"/>
            <w:right w:w="108" w:type="dxa"/>
          </w:tblCellMar>
        </w:tblPrEx>
        <w:trPr>
          <w:trHeight w:val="284" w:hRule="atLeast"/>
          <w:jc w:val="center"/>
        </w:trPr>
        <w:tc>
          <w:tcPr>
            <w:tcW w:w="517" w:type="dxa"/>
            <w:tcBorders>
              <w:top w:val="nil"/>
              <w:left w:val="single" w:color="000000" w:sz="4" w:space="0"/>
              <w:bottom w:val="single" w:color="000000" w:sz="4" w:space="0"/>
              <w:right w:val="single" w:color="000000" w:sz="4" w:space="0"/>
            </w:tcBorders>
            <w:noWrap/>
            <w:vAlign w:val="center"/>
          </w:tcPr>
          <w:p>
            <w:pPr>
              <w:widowControl/>
              <w:spacing w:line="262" w:lineRule="exact"/>
              <w:ind w:left="-63" w:leftChars="-30" w:right="-63" w:rightChars="-30"/>
              <w:jc w:val="center"/>
              <w:rPr>
                <w:rFonts w:ascii="宋体" w:hAnsi="宋体" w:cs="仿宋_GB2312"/>
                <w:kern w:val="21"/>
                <w:szCs w:val="21"/>
              </w:rPr>
            </w:pPr>
            <w:r>
              <w:rPr>
                <w:rFonts w:hint="eastAsia" w:ascii="宋体" w:hAnsi="宋体" w:cs="仿宋_GB2312"/>
                <w:kern w:val="21"/>
                <w:szCs w:val="21"/>
              </w:rPr>
              <w:t>6</w:t>
            </w:r>
          </w:p>
        </w:tc>
        <w:tc>
          <w:tcPr>
            <w:tcW w:w="1190" w:type="dxa"/>
            <w:tcBorders>
              <w:top w:val="nil"/>
              <w:left w:val="nil"/>
              <w:bottom w:val="single" w:color="000000"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香港专业机构和专业人士开业执业便利化措施</w:t>
            </w:r>
          </w:p>
        </w:tc>
        <w:tc>
          <w:tcPr>
            <w:tcW w:w="9632" w:type="dxa"/>
            <w:tcBorders>
              <w:top w:val="nil"/>
              <w:left w:val="nil"/>
              <w:bottom w:val="single" w:color="000000"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出台相应管理办法，香港建筑领域的专业机构和专业人士可根据管理办法中规定的备案范围及对标清单进行备案。允许备案机构、人士直接参与特定地域范围内建设工程项目设计的招投标活动，在特定地域范围内为市场主体提供勘察、设计、监理、造价等服务，对勘察结果、设计图纸和文件、质量安全等管理工作成果、监督工作成果予以认可签字。相关部门对已备案专业机构及专业人士进行事中事后监管。</w:t>
            </w:r>
          </w:p>
        </w:tc>
        <w:tc>
          <w:tcPr>
            <w:tcW w:w="937"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rPr>
                <w:rFonts w:ascii="宋体" w:hAnsi="宋体" w:cs="仿宋_GB2312"/>
                <w:kern w:val="0"/>
                <w:szCs w:val="21"/>
              </w:rPr>
            </w:pPr>
            <w:r>
              <w:rPr>
                <w:rFonts w:hint="eastAsia" w:ascii="宋体" w:hAnsi="宋体" w:cs="仿宋_GB2312"/>
                <w:kern w:val="0"/>
                <w:szCs w:val="21"/>
              </w:rPr>
              <w:t>市住房建设局</w:t>
            </w:r>
          </w:p>
        </w:tc>
        <w:tc>
          <w:tcPr>
            <w:tcW w:w="959"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rPr>
          <w:trHeight w:val="284" w:hRule="atLeast"/>
          <w:jc w:val="center"/>
        </w:trPr>
        <w:tc>
          <w:tcPr>
            <w:tcW w:w="517" w:type="dxa"/>
            <w:tcBorders>
              <w:top w:val="nil"/>
              <w:left w:val="single" w:color="000000" w:sz="4" w:space="0"/>
              <w:bottom w:val="single" w:color="auto" w:sz="4" w:space="0"/>
              <w:right w:val="single" w:color="000000" w:sz="4" w:space="0"/>
            </w:tcBorders>
            <w:noWrap/>
            <w:vAlign w:val="center"/>
          </w:tcPr>
          <w:p>
            <w:pPr>
              <w:widowControl/>
              <w:spacing w:line="262" w:lineRule="exact"/>
              <w:ind w:left="-63" w:leftChars="-30" w:right="-63" w:rightChars="-30"/>
              <w:jc w:val="center"/>
              <w:rPr>
                <w:rFonts w:ascii="宋体" w:hAnsi="宋体" w:cs="仿宋_GB2312"/>
                <w:kern w:val="21"/>
                <w:szCs w:val="21"/>
              </w:rPr>
            </w:pPr>
            <w:r>
              <w:rPr>
                <w:rFonts w:hint="eastAsia" w:ascii="宋体" w:hAnsi="宋体" w:cs="仿宋_GB2312"/>
                <w:kern w:val="21"/>
                <w:szCs w:val="21"/>
              </w:rPr>
              <w:t>7</w:t>
            </w:r>
          </w:p>
        </w:tc>
        <w:tc>
          <w:tcPr>
            <w:tcW w:w="1190" w:type="dxa"/>
            <w:tcBorders>
              <w:top w:val="nil"/>
              <w:left w:val="nil"/>
              <w:bottom w:val="single" w:color="auto"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港人港企首席联络员直通车服务</w:t>
            </w:r>
          </w:p>
        </w:tc>
        <w:tc>
          <w:tcPr>
            <w:tcW w:w="9632" w:type="dxa"/>
            <w:tcBorders>
              <w:top w:val="nil"/>
              <w:left w:val="nil"/>
              <w:bottom w:val="single" w:color="auto"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建设港人港企直通车工作室，积极开展对港人港企税收政策的宣传辅导与涉税体验的优化工作。线下设置港企直通车窗口，开通港企办税绿色通道。线上依托区块链管理服务云平台，探索港企涉税事项智能化办理及“非接触”远程办理。梳理港人港企涉税需求，形成业务指南。加强涉税政策指导和服务创新，完善税企双向沟通和反馈机制，积极开展热点事项培训。</w:t>
            </w:r>
          </w:p>
        </w:tc>
        <w:tc>
          <w:tcPr>
            <w:tcW w:w="937" w:type="dxa"/>
            <w:tcBorders>
              <w:top w:val="nil"/>
              <w:left w:val="nil"/>
              <w:bottom w:val="single" w:color="auto" w:sz="4" w:space="0"/>
              <w:right w:val="single" w:color="000000" w:sz="4" w:space="0"/>
            </w:tcBorders>
            <w:noWrap w:val="0"/>
            <w:vAlign w:val="center"/>
          </w:tcPr>
          <w:p>
            <w:pPr>
              <w:widowControl/>
              <w:spacing w:line="260" w:lineRule="exact"/>
              <w:ind w:left="-63" w:leftChars="-30" w:right="-63" w:rightChars="-30"/>
              <w:rPr>
                <w:rFonts w:ascii="宋体" w:hAnsi="宋体" w:cs="仿宋_GB2312"/>
                <w:kern w:val="0"/>
                <w:szCs w:val="21"/>
              </w:rPr>
            </w:pPr>
            <w:r>
              <w:rPr>
                <w:rFonts w:hint="eastAsia" w:ascii="宋体" w:hAnsi="宋体" w:cs="仿宋_GB2312"/>
                <w:kern w:val="0"/>
                <w:szCs w:val="21"/>
              </w:rPr>
              <w:t>深圳市税务局</w:t>
            </w:r>
          </w:p>
        </w:tc>
        <w:tc>
          <w:tcPr>
            <w:tcW w:w="959" w:type="dxa"/>
            <w:tcBorders>
              <w:top w:val="nil"/>
              <w:left w:val="nil"/>
              <w:bottom w:val="single" w:color="auto"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17" w:type="dxa"/>
            <w:tcBorders>
              <w:top w:val="single" w:color="auto" w:sz="4" w:space="0"/>
              <w:left w:val="single" w:color="auto" w:sz="4" w:space="0"/>
              <w:bottom w:val="single" w:color="auto" w:sz="4" w:space="0"/>
              <w:right w:val="single" w:color="000000" w:sz="4" w:space="0"/>
            </w:tcBorders>
            <w:noWrap/>
            <w:vAlign w:val="center"/>
          </w:tcPr>
          <w:p>
            <w:pPr>
              <w:widowControl/>
              <w:spacing w:line="262" w:lineRule="exact"/>
              <w:ind w:left="-63" w:leftChars="-30" w:right="-63" w:rightChars="-30"/>
              <w:jc w:val="center"/>
              <w:rPr>
                <w:rFonts w:ascii="宋体" w:hAnsi="宋体" w:cs="仿宋_GB2312"/>
                <w:kern w:val="21"/>
                <w:szCs w:val="21"/>
              </w:rPr>
            </w:pPr>
            <w:r>
              <w:rPr>
                <w:rFonts w:hint="eastAsia" w:ascii="宋体" w:hAnsi="宋体" w:cs="仿宋_GB2312"/>
                <w:kern w:val="21"/>
                <w:szCs w:val="21"/>
              </w:rPr>
              <w:t>8</w:t>
            </w:r>
          </w:p>
        </w:tc>
        <w:tc>
          <w:tcPr>
            <w:tcW w:w="1190" w:type="dxa"/>
            <w:tcBorders>
              <w:top w:val="single" w:color="auto" w:sz="4" w:space="0"/>
              <w:left w:val="nil"/>
              <w:bottom w:val="single" w:color="auto"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字典类政策工具</w:t>
            </w:r>
          </w:p>
        </w:tc>
        <w:tc>
          <w:tcPr>
            <w:tcW w:w="9632" w:type="dxa"/>
            <w:tcBorders>
              <w:top w:val="single" w:color="auto" w:sz="4" w:space="0"/>
              <w:left w:val="nil"/>
              <w:bottom w:val="single" w:color="auto"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编制并发布字典类政策工具书</w:t>
            </w:r>
            <w:r>
              <w:rPr>
                <w:rFonts w:hint="eastAsia" w:ascii="宋体" w:hAnsi="宋体" w:cs="宋体"/>
                <w:kern w:val="21"/>
                <w:szCs w:val="21"/>
              </w:rPr>
              <w:t>——</w:t>
            </w:r>
            <w:r>
              <w:rPr>
                <w:rFonts w:hint="eastAsia" w:ascii="宋体" w:hAnsi="宋体" w:cs="仿宋_GB2312"/>
                <w:kern w:val="21"/>
                <w:szCs w:val="21"/>
              </w:rPr>
              <w:t>《创业政策字典》。收录创新创业相关的政策文本，并提炼标签与政策要义，简明扼要体现政策核心内容，按多种查询方式设置查询目录及多级子目录，帮助企业和人才全面了解产业政策，快速查询所需政策内容。</w:t>
            </w:r>
          </w:p>
        </w:tc>
        <w:tc>
          <w:tcPr>
            <w:tcW w:w="937" w:type="dxa"/>
            <w:tcBorders>
              <w:top w:val="single" w:color="auto" w:sz="4" w:space="0"/>
              <w:left w:val="nil"/>
              <w:bottom w:val="single" w:color="auto" w:sz="4" w:space="0"/>
              <w:right w:val="single" w:color="000000" w:sz="4" w:space="0"/>
            </w:tcBorders>
            <w:noWrap w:val="0"/>
            <w:vAlign w:val="center"/>
          </w:tcPr>
          <w:p>
            <w:pPr>
              <w:widowControl/>
              <w:spacing w:line="260" w:lineRule="exact"/>
              <w:ind w:left="-63" w:leftChars="-30" w:right="-63" w:rightChars="-30"/>
              <w:rPr>
                <w:rFonts w:ascii="宋体" w:hAnsi="宋体" w:cs="仿宋_GB2312"/>
                <w:kern w:val="0"/>
                <w:szCs w:val="21"/>
              </w:rPr>
            </w:pPr>
            <w:r>
              <w:rPr>
                <w:rFonts w:hint="eastAsia" w:ascii="宋体" w:hAnsi="宋体" w:cs="仿宋_GB2312"/>
                <w:kern w:val="0"/>
                <w:szCs w:val="21"/>
              </w:rPr>
              <w:t>市中小企业服务局</w:t>
            </w:r>
          </w:p>
        </w:tc>
        <w:tc>
          <w:tcPr>
            <w:tcW w:w="959" w:type="dxa"/>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13235" w:type="dxa"/>
            <w:gridSpan w:val="5"/>
            <w:tcBorders>
              <w:top w:val="single" w:color="auto" w:sz="4" w:space="0"/>
              <w:left w:val="single" w:color="000000" w:sz="4" w:space="0"/>
              <w:bottom w:val="single" w:color="000000" w:sz="4" w:space="0"/>
              <w:right w:val="single" w:color="000000" w:sz="4" w:space="0"/>
            </w:tcBorders>
            <w:noWrap/>
            <w:vAlign w:val="center"/>
          </w:tcPr>
          <w:p>
            <w:pPr>
              <w:widowControl/>
              <w:spacing w:line="262" w:lineRule="exact"/>
              <w:ind w:left="-63" w:leftChars="-30" w:right="-63" w:rightChars="-30"/>
              <w:rPr>
                <w:rFonts w:ascii="黑体" w:hAnsi="宋体" w:eastAsia="黑体" w:cs="仿宋_GB2312"/>
                <w:kern w:val="21"/>
                <w:szCs w:val="21"/>
              </w:rPr>
            </w:pPr>
            <w:r>
              <w:rPr>
                <w:rFonts w:hint="eastAsia" w:ascii="黑体" w:hAnsi="宋体" w:eastAsia="黑体" w:cs="仿宋_GB2312"/>
                <w:kern w:val="21"/>
                <w:szCs w:val="21"/>
              </w:rPr>
              <w:t>二、贸易便利化（4项）</w:t>
            </w:r>
          </w:p>
        </w:tc>
      </w:tr>
      <w:tr>
        <w:tblPrEx>
          <w:tblCellMar>
            <w:top w:w="0" w:type="dxa"/>
            <w:left w:w="108" w:type="dxa"/>
            <w:bottom w:w="0" w:type="dxa"/>
            <w:right w:w="108" w:type="dxa"/>
          </w:tblCellMar>
        </w:tblPrEx>
        <w:trPr>
          <w:trHeight w:val="284" w:hRule="atLeast"/>
          <w:jc w:val="center"/>
        </w:trPr>
        <w:tc>
          <w:tcPr>
            <w:tcW w:w="517" w:type="dxa"/>
            <w:tcBorders>
              <w:top w:val="nil"/>
              <w:left w:val="single" w:color="000000" w:sz="4" w:space="0"/>
              <w:bottom w:val="single" w:color="000000" w:sz="4" w:space="0"/>
              <w:right w:val="single" w:color="000000" w:sz="4" w:space="0"/>
            </w:tcBorders>
            <w:noWrap/>
            <w:vAlign w:val="center"/>
          </w:tcPr>
          <w:p>
            <w:pPr>
              <w:widowControl/>
              <w:spacing w:line="262" w:lineRule="exact"/>
              <w:ind w:left="-63" w:leftChars="-30" w:right="-63" w:rightChars="-30"/>
              <w:jc w:val="center"/>
              <w:rPr>
                <w:rFonts w:ascii="宋体" w:hAnsi="宋体" w:cs="仿宋_GB2312"/>
                <w:kern w:val="21"/>
                <w:szCs w:val="21"/>
              </w:rPr>
            </w:pPr>
            <w:r>
              <w:rPr>
                <w:rFonts w:hint="eastAsia" w:ascii="宋体" w:hAnsi="宋体" w:cs="仿宋_GB2312"/>
                <w:kern w:val="21"/>
                <w:szCs w:val="21"/>
              </w:rPr>
              <w:t>9</w:t>
            </w:r>
          </w:p>
        </w:tc>
        <w:tc>
          <w:tcPr>
            <w:tcW w:w="1190" w:type="dxa"/>
            <w:tcBorders>
              <w:top w:val="nil"/>
              <w:left w:val="nil"/>
              <w:bottom w:val="single" w:color="000000"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通关业务在线服务窗口</w:t>
            </w:r>
          </w:p>
        </w:tc>
        <w:tc>
          <w:tcPr>
            <w:tcW w:w="9632" w:type="dxa"/>
            <w:tcBorders>
              <w:top w:val="nil"/>
              <w:left w:val="nil"/>
              <w:bottom w:val="single" w:color="000000"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推出“前海通关业务在线服务窗口”，企业可通过该窗口提交电子数据，无需前往海关窗口。通过一般业务在线受理、实时审核、特殊业务先行办理、容缺后补的灵活处理方式，最大限度减少接触风险。</w:t>
            </w:r>
          </w:p>
        </w:tc>
        <w:tc>
          <w:tcPr>
            <w:tcW w:w="937"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rPr>
                <w:rFonts w:ascii="宋体" w:hAnsi="宋体" w:cs="仿宋_GB2312"/>
                <w:kern w:val="0"/>
                <w:szCs w:val="21"/>
              </w:rPr>
            </w:pPr>
            <w:r>
              <w:rPr>
                <w:rFonts w:hint="eastAsia" w:ascii="宋体" w:hAnsi="宋体" w:cs="仿宋_GB2312"/>
                <w:kern w:val="0"/>
                <w:szCs w:val="21"/>
              </w:rPr>
              <w:t>深圳海关</w:t>
            </w:r>
          </w:p>
        </w:tc>
        <w:tc>
          <w:tcPr>
            <w:tcW w:w="959"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海关特殊监管区域</w:t>
            </w:r>
          </w:p>
        </w:tc>
      </w:tr>
      <w:tr>
        <w:tblPrEx>
          <w:tblCellMar>
            <w:top w:w="0" w:type="dxa"/>
            <w:left w:w="108" w:type="dxa"/>
            <w:bottom w:w="0" w:type="dxa"/>
            <w:right w:w="108" w:type="dxa"/>
          </w:tblCellMar>
        </w:tblPrEx>
        <w:trPr>
          <w:trHeight w:val="284" w:hRule="atLeast"/>
          <w:jc w:val="center"/>
        </w:trPr>
        <w:tc>
          <w:tcPr>
            <w:tcW w:w="517" w:type="dxa"/>
            <w:tcBorders>
              <w:top w:val="nil"/>
              <w:left w:val="single" w:color="000000" w:sz="4" w:space="0"/>
              <w:bottom w:val="single" w:color="000000" w:sz="4" w:space="0"/>
              <w:right w:val="single" w:color="000000" w:sz="4" w:space="0"/>
            </w:tcBorders>
            <w:noWrap/>
            <w:vAlign w:val="center"/>
          </w:tcPr>
          <w:p>
            <w:pPr>
              <w:widowControl/>
              <w:spacing w:line="262" w:lineRule="exact"/>
              <w:ind w:left="-63" w:leftChars="-30" w:right="-63" w:rightChars="-30"/>
              <w:jc w:val="center"/>
              <w:rPr>
                <w:rFonts w:ascii="宋体" w:hAnsi="宋体" w:cs="仿宋_GB2312"/>
                <w:kern w:val="21"/>
                <w:szCs w:val="21"/>
              </w:rPr>
            </w:pPr>
            <w:r>
              <w:rPr>
                <w:rFonts w:hint="eastAsia" w:ascii="宋体" w:hAnsi="宋体" w:cs="仿宋_GB2312"/>
                <w:kern w:val="21"/>
                <w:szCs w:val="21"/>
              </w:rPr>
              <w:t>10</w:t>
            </w:r>
          </w:p>
        </w:tc>
        <w:tc>
          <w:tcPr>
            <w:tcW w:w="1190" w:type="dxa"/>
            <w:tcBorders>
              <w:top w:val="nil"/>
              <w:left w:val="nil"/>
              <w:bottom w:val="single" w:color="000000"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基于“物联网、大数据和人工智能与区块链融合”应用的供应链管理创新</w:t>
            </w:r>
          </w:p>
        </w:tc>
        <w:tc>
          <w:tcPr>
            <w:tcW w:w="9632" w:type="dxa"/>
            <w:tcBorders>
              <w:top w:val="nil"/>
              <w:left w:val="nil"/>
              <w:bottom w:val="single" w:color="000000"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通过“仓单系统优化”实现指定交收仓库的现场管理规范化，为市场主体提供电子化管理平台及可视化监控界面。物联网改造仓库实现仓储数据、仓单数据与物联网监控数据实时对应交互及货物非法移动报警、库位非法入侵监控报警等功能。搭建大宗商品仓单场景的区块链技术平台，设置交易中心、银行、保险公司、交易商、仓储等节点，以仓单的货物信息、物联网信息、交易信息、保险信息、融资信息等为基础，构建区块链上的仓单信息统一账本。</w:t>
            </w:r>
          </w:p>
        </w:tc>
        <w:tc>
          <w:tcPr>
            <w:tcW w:w="937"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rPr>
                <w:rFonts w:ascii="宋体" w:hAnsi="宋体" w:cs="仿宋_GB2312"/>
                <w:kern w:val="0"/>
                <w:szCs w:val="21"/>
              </w:rPr>
            </w:pPr>
            <w:r>
              <w:rPr>
                <w:rFonts w:hint="eastAsia" w:ascii="宋体" w:hAnsi="宋体" w:cs="仿宋_GB2312"/>
                <w:kern w:val="0"/>
                <w:szCs w:val="21"/>
              </w:rPr>
              <w:t>各企业</w:t>
            </w:r>
          </w:p>
        </w:tc>
        <w:tc>
          <w:tcPr>
            <w:tcW w:w="959"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rPr>
          <w:trHeight w:val="284" w:hRule="atLeast"/>
          <w:jc w:val="center"/>
        </w:trPr>
        <w:tc>
          <w:tcPr>
            <w:tcW w:w="517" w:type="dxa"/>
            <w:tcBorders>
              <w:top w:val="nil"/>
              <w:left w:val="single" w:color="000000" w:sz="4" w:space="0"/>
              <w:bottom w:val="single" w:color="000000" w:sz="4" w:space="0"/>
              <w:right w:val="single" w:color="000000" w:sz="4" w:space="0"/>
            </w:tcBorders>
            <w:noWrap/>
            <w:vAlign w:val="center"/>
          </w:tcPr>
          <w:p>
            <w:pPr>
              <w:widowControl/>
              <w:spacing w:line="262" w:lineRule="exact"/>
              <w:ind w:left="-63" w:leftChars="-30" w:right="-63" w:rightChars="-30"/>
              <w:jc w:val="center"/>
              <w:rPr>
                <w:rFonts w:ascii="宋体" w:hAnsi="宋体" w:cs="仿宋_GB2312"/>
                <w:kern w:val="21"/>
                <w:szCs w:val="21"/>
              </w:rPr>
            </w:pPr>
            <w:r>
              <w:rPr>
                <w:rFonts w:hint="eastAsia" w:ascii="宋体" w:hAnsi="宋体" w:cs="仿宋_GB2312"/>
                <w:kern w:val="21"/>
                <w:szCs w:val="21"/>
              </w:rPr>
              <w:t>11</w:t>
            </w:r>
          </w:p>
        </w:tc>
        <w:tc>
          <w:tcPr>
            <w:tcW w:w="1190" w:type="dxa"/>
            <w:tcBorders>
              <w:top w:val="nil"/>
              <w:left w:val="nil"/>
              <w:bottom w:val="single" w:color="000000"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3N模式集合保理资产ABS</w:t>
            </w:r>
          </w:p>
        </w:tc>
        <w:tc>
          <w:tcPr>
            <w:tcW w:w="9632" w:type="dxa"/>
            <w:tcBorders>
              <w:top w:val="nil"/>
              <w:left w:val="nil"/>
              <w:bottom w:val="single" w:color="000000"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构建全流程区块链应用的贸易背景审核机制，围绕3N集合保理ABS的业务场景与特点，对各参与方资产的所有操作都纳入区块链。由数据所有方自主加密上传，在保障隐私的前提下将特定字段密文的查看权限授予第三方。在信用评级的基础上，引入国际知名评级机构，共建独特的企业债项评级模型，以预期损失为评价维度，构建基于主体风险评级与债项风险评级的二维评价体系，为中小企业融资提供信用风险公允评定信息。</w:t>
            </w:r>
          </w:p>
        </w:tc>
        <w:tc>
          <w:tcPr>
            <w:tcW w:w="937"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rPr>
                <w:rFonts w:ascii="宋体" w:hAnsi="宋体" w:cs="仿宋_GB2312"/>
                <w:kern w:val="0"/>
                <w:szCs w:val="21"/>
              </w:rPr>
            </w:pPr>
            <w:r>
              <w:rPr>
                <w:rFonts w:hint="eastAsia" w:ascii="宋体" w:hAnsi="宋体" w:cs="仿宋_GB2312"/>
                <w:kern w:val="0"/>
                <w:szCs w:val="21"/>
              </w:rPr>
              <w:t>各企业</w:t>
            </w:r>
          </w:p>
        </w:tc>
        <w:tc>
          <w:tcPr>
            <w:tcW w:w="959"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17" w:type="dxa"/>
            <w:tcBorders>
              <w:top w:val="nil"/>
              <w:left w:val="single" w:color="000000" w:sz="4" w:space="0"/>
              <w:bottom w:val="single" w:color="000000" w:sz="4" w:space="0"/>
              <w:right w:val="single" w:color="000000" w:sz="4" w:space="0"/>
            </w:tcBorders>
            <w:noWrap/>
            <w:vAlign w:val="center"/>
          </w:tcPr>
          <w:p>
            <w:pPr>
              <w:widowControl/>
              <w:spacing w:line="262" w:lineRule="exact"/>
              <w:ind w:left="-63" w:leftChars="-30" w:right="-63" w:rightChars="-30"/>
              <w:jc w:val="center"/>
              <w:rPr>
                <w:rFonts w:ascii="宋体" w:hAnsi="宋体" w:cs="仿宋_GB2312"/>
                <w:kern w:val="21"/>
                <w:szCs w:val="21"/>
              </w:rPr>
            </w:pPr>
            <w:r>
              <w:rPr>
                <w:rFonts w:hint="eastAsia" w:ascii="宋体" w:hAnsi="宋体" w:cs="仿宋_GB2312"/>
                <w:kern w:val="21"/>
                <w:szCs w:val="21"/>
              </w:rPr>
              <w:t>12</w:t>
            </w:r>
          </w:p>
        </w:tc>
        <w:tc>
          <w:tcPr>
            <w:tcW w:w="1190" w:type="dxa"/>
            <w:tcBorders>
              <w:top w:val="nil"/>
              <w:left w:val="nil"/>
              <w:bottom w:val="single" w:color="000000"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全流程信息化保税园区管理模式</w:t>
            </w:r>
          </w:p>
        </w:tc>
        <w:tc>
          <w:tcPr>
            <w:tcW w:w="9632" w:type="dxa"/>
            <w:tcBorders>
              <w:top w:val="nil"/>
              <w:left w:val="nil"/>
              <w:bottom w:val="single" w:color="000000" w:sz="4" w:space="0"/>
              <w:right w:val="single" w:color="000000" w:sz="4" w:space="0"/>
            </w:tcBorders>
            <w:noWrap w:val="0"/>
            <w:vAlign w:val="center"/>
          </w:tcPr>
          <w:p>
            <w:pPr>
              <w:widowControl/>
              <w:spacing w:line="262" w:lineRule="exact"/>
              <w:ind w:left="-63" w:leftChars="-30" w:right="-63" w:rightChars="-30"/>
              <w:rPr>
                <w:rFonts w:ascii="宋体" w:hAnsi="宋体" w:cs="仿宋_GB2312"/>
                <w:kern w:val="21"/>
                <w:szCs w:val="21"/>
              </w:rPr>
            </w:pPr>
            <w:r>
              <w:rPr>
                <w:rFonts w:hint="eastAsia" w:ascii="宋体" w:hAnsi="宋体" w:cs="仿宋_GB2312"/>
                <w:kern w:val="21"/>
                <w:szCs w:val="21"/>
              </w:rPr>
              <w:t>建立基于云平台微服务架构的统一的技术平台、门户、数据标准、数据库、用户权限、数据接口和数据交换中心等。建立流程引擎和自定义电子业务流程。在综合服务平台通关管理模块上内嵌国家单一窗口系统。应用物联网技术建设区内区外无人值守地磅系统，按车牌信息自动化完成地磅称重、车牌识别、自动匹配平台称重单等，地磅自助终端将称重信息实时打印给司机并上传综合服务平台供客户调用，实现24小时服务园区客户。</w:t>
            </w:r>
          </w:p>
        </w:tc>
        <w:tc>
          <w:tcPr>
            <w:tcW w:w="937"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rPr>
                <w:rFonts w:ascii="宋体" w:hAnsi="宋体" w:cs="仿宋_GB2312"/>
                <w:kern w:val="0"/>
                <w:szCs w:val="21"/>
              </w:rPr>
            </w:pPr>
            <w:r>
              <w:rPr>
                <w:rFonts w:hint="eastAsia" w:ascii="宋体" w:hAnsi="宋体" w:cs="仿宋_GB2312"/>
                <w:kern w:val="0"/>
                <w:szCs w:val="21"/>
              </w:rPr>
              <w:t>各企业</w:t>
            </w:r>
          </w:p>
        </w:tc>
        <w:tc>
          <w:tcPr>
            <w:tcW w:w="959"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bl>
    <w:p>
      <w:pPr>
        <w:spacing w:line="240" w:lineRule="exact"/>
        <w:rPr>
          <w:rFonts w:hint="eastAsia"/>
        </w:rPr>
      </w:pPr>
    </w:p>
    <w:tbl>
      <w:tblPr>
        <w:tblStyle w:val="4"/>
        <w:tblW w:w="4950" w:type="pct"/>
        <w:jc w:val="center"/>
        <w:tblLayout w:type="fixed"/>
        <w:tblCellMar>
          <w:top w:w="0" w:type="dxa"/>
          <w:left w:w="108" w:type="dxa"/>
          <w:bottom w:w="0" w:type="dxa"/>
          <w:right w:w="108" w:type="dxa"/>
        </w:tblCellMar>
      </w:tblPr>
      <w:tblGrid>
        <w:gridCol w:w="551"/>
        <w:gridCol w:w="1330"/>
        <w:gridCol w:w="10129"/>
        <w:gridCol w:w="999"/>
        <w:gridCol w:w="1023"/>
      </w:tblGrid>
      <w:tr>
        <w:tblPrEx>
          <w:tblCellMar>
            <w:top w:w="0" w:type="dxa"/>
            <w:left w:w="108" w:type="dxa"/>
            <w:bottom w:w="0" w:type="dxa"/>
            <w:right w:w="108" w:type="dxa"/>
          </w:tblCellMar>
        </w:tblPrEx>
        <w:trPr>
          <w:trHeight w:val="284" w:hRule="atLeast"/>
          <w:tblHeader/>
          <w:jc w:val="center"/>
        </w:trPr>
        <w:tc>
          <w:tcPr>
            <w:tcW w:w="52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1254"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试点任务</w:t>
            </w:r>
          </w:p>
        </w:tc>
        <w:tc>
          <w:tcPr>
            <w:tcW w:w="9554"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实施内容</w:t>
            </w:r>
          </w:p>
        </w:tc>
        <w:tc>
          <w:tcPr>
            <w:tcW w:w="94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牵头单位</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推广范围</w:t>
            </w:r>
          </w:p>
        </w:tc>
      </w:tr>
      <w:tr>
        <w:tblPrEx>
          <w:tblCellMar>
            <w:top w:w="0" w:type="dxa"/>
            <w:left w:w="108" w:type="dxa"/>
            <w:bottom w:w="0" w:type="dxa"/>
            <w:right w:w="108" w:type="dxa"/>
          </w:tblCellMar>
        </w:tblPrEx>
        <w:trPr>
          <w:trHeight w:val="284" w:hRule="atLeast"/>
          <w:jc w:val="center"/>
        </w:trPr>
        <w:tc>
          <w:tcPr>
            <w:tcW w:w="13235"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ind w:left="-63" w:leftChars="-30" w:right="-63" w:rightChars="-30"/>
              <w:rPr>
                <w:rFonts w:ascii="黑体" w:hAnsi="宋体" w:eastAsia="黑体" w:cs="仿宋_GB2312"/>
                <w:kern w:val="0"/>
                <w:szCs w:val="21"/>
              </w:rPr>
            </w:pPr>
            <w:r>
              <w:rPr>
                <w:rFonts w:hint="eastAsia" w:ascii="黑体" w:hAnsi="宋体" w:eastAsia="黑体" w:cs="仿宋_GB2312"/>
                <w:kern w:val="0"/>
                <w:szCs w:val="21"/>
              </w:rPr>
              <w:t>三、金融开放创新（5项）</w:t>
            </w:r>
          </w:p>
        </w:tc>
      </w:tr>
      <w:tr>
        <w:tblPrEx>
          <w:tblCellMar>
            <w:top w:w="0" w:type="dxa"/>
            <w:left w:w="108" w:type="dxa"/>
            <w:bottom w:w="0" w:type="dxa"/>
            <w:right w:w="108" w:type="dxa"/>
          </w:tblCellMar>
        </w:tblPrEx>
        <w:trPr>
          <w:trHeight w:val="284" w:hRule="atLeast"/>
          <w:jc w:val="center"/>
        </w:trPr>
        <w:tc>
          <w:tcPr>
            <w:tcW w:w="520" w:type="dxa"/>
            <w:tcBorders>
              <w:top w:val="nil"/>
              <w:left w:val="single" w:color="000000" w:sz="4" w:space="0"/>
              <w:bottom w:val="single" w:color="000000" w:sz="4" w:space="0"/>
              <w:right w:val="single" w:color="000000" w:sz="4" w:space="0"/>
            </w:tcBorders>
            <w:noWrap/>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13</w:t>
            </w:r>
          </w:p>
        </w:tc>
        <w:tc>
          <w:tcPr>
            <w:tcW w:w="1254"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全线上信用类“支小再贷款”</w:t>
            </w:r>
          </w:p>
        </w:tc>
        <w:tc>
          <w:tcPr>
            <w:tcW w:w="9554"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在人民银行关于增加专项再贷款、再贴现5000亿元措施出台后，制定相应的“支小再贷款”投放计划，贷款利率在政策要求低于“LPR＋50BP”的基础上进一步降低。以企业及个人征信、工商、税务、电力等可信数据为原材料，以10万＋的衍生变量、300＋的子模型为基础，构建企业与企业法人双主体信用评价与贷款全流程风险管理体系。小微企业通过微信公众号即可申请银行的贷款，有效降低客户实际融资成本。</w:t>
            </w:r>
          </w:p>
        </w:tc>
        <w:tc>
          <w:tcPr>
            <w:tcW w:w="942"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各企业</w:t>
            </w:r>
          </w:p>
        </w:tc>
        <w:tc>
          <w:tcPr>
            <w:tcW w:w="965"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0" w:type="dxa"/>
            <w:tcBorders>
              <w:top w:val="nil"/>
              <w:left w:val="single" w:color="000000" w:sz="4" w:space="0"/>
              <w:bottom w:val="single" w:color="000000" w:sz="4" w:space="0"/>
              <w:right w:val="single" w:color="000000" w:sz="4" w:space="0"/>
            </w:tcBorders>
            <w:noWrap/>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14</w:t>
            </w:r>
          </w:p>
        </w:tc>
        <w:tc>
          <w:tcPr>
            <w:tcW w:w="1254"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基于AI和卫星数据的疫情下宏观经济监测平台</w:t>
            </w:r>
          </w:p>
        </w:tc>
        <w:tc>
          <w:tcPr>
            <w:tcW w:w="9554"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针对宏观经济监测卡脖子的数据获取和分析难题，构建基于AI和卫星数据的疫情下宏观经济监测平台。平台基于人工智能技术和遥感影像，发挥遥感对地观测技术的宏观、动态、快速、准确及可持续采集等优势，进行有效的数据挖掘、分析、预测，实现对全国、区域及行业的分层分析，有效填补数据缺陷。</w:t>
            </w:r>
          </w:p>
        </w:tc>
        <w:tc>
          <w:tcPr>
            <w:tcW w:w="942"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各企业</w:t>
            </w:r>
          </w:p>
        </w:tc>
        <w:tc>
          <w:tcPr>
            <w:tcW w:w="965"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0" w:type="dxa"/>
            <w:tcBorders>
              <w:top w:val="nil"/>
              <w:left w:val="single" w:color="000000" w:sz="4" w:space="0"/>
              <w:bottom w:val="single" w:color="000000" w:sz="4" w:space="0"/>
              <w:right w:val="single" w:color="000000" w:sz="4" w:space="0"/>
            </w:tcBorders>
            <w:noWrap/>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15</w:t>
            </w:r>
          </w:p>
        </w:tc>
        <w:tc>
          <w:tcPr>
            <w:tcW w:w="1254"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中小企业全线上跨境贸易融资平台</w:t>
            </w:r>
          </w:p>
        </w:tc>
        <w:tc>
          <w:tcPr>
            <w:tcW w:w="9554"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融资平台通过与海外供应链管理平台的互联互通，自动获取中小出口商在平台上与海外买方的历史交易数据和交易节点数据，并为中小企业客户提供在线融资产品。中小企业可以在完成与买方的日常供应链流程交互后，一键发起融资申请，供应链管理平台通过与融资平台的数据对接，把该笔融资申请以及交易对应的支持文件（订单，发票，承兑通知等）在线传送，融资平台通过大数据、AI方式审核单据无误后即可操作付款。</w:t>
            </w:r>
          </w:p>
        </w:tc>
        <w:tc>
          <w:tcPr>
            <w:tcW w:w="942"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各企业</w:t>
            </w:r>
          </w:p>
        </w:tc>
        <w:tc>
          <w:tcPr>
            <w:tcW w:w="965"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0" w:type="dxa"/>
            <w:tcBorders>
              <w:top w:val="nil"/>
              <w:left w:val="single" w:color="000000" w:sz="4" w:space="0"/>
              <w:bottom w:val="single" w:color="auto" w:sz="4" w:space="0"/>
              <w:right w:val="single" w:color="000000" w:sz="4" w:space="0"/>
            </w:tcBorders>
            <w:noWrap/>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16</w:t>
            </w:r>
          </w:p>
        </w:tc>
        <w:tc>
          <w:tcPr>
            <w:tcW w:w="1254" w:type="dxa"/>
            <w:tcBorders>
              <w:top w:val="nil"/>
              <w:left w:val="nil"/>
              <w:bottom w:val="single" w:color="auto"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“银行＋保险＋期货”助力精准扶贫</w:t>
            </w:r>
          </w:p>
        </w:tc>
        <w:tc>
          <w:tcPr>
            <w:tcW w:w="9554" w:type="dxa"/>
            <w:tcBorders>
              <w:top w:val="nil"/>
              <w:left w:val="nil"/>
              <w:bottom w:val="single" w:color="auto"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养殖户以玉米和豆粕作为价格保险标的并投保。面向养殖规范、经营稳健、信用较好的参保农户，银行提供小微扶贫信用贷款。银行的专项扶贫资金和金融期货公司的项目专用资金共同为养殖户承担投保费用，保险公司向参保农户提供玉米豆粕价格上涨保险后，购买玉米豆粕看涨期权实现再保险，运用动态对冲将价格风险转移至期货市场。银行还向部分参保农户提供无抵押低息小微扶贫信用贷款。（注：“扶贫＋疫情防控”资产支持票据交易模式不适用于金融租赁公司）</w:t>
            </w:r>
          </w:p>
        </w:tc>
        <w:tc>
          <w:tcPr>
            <w:tcW w:w="942" w:type="dxa"/>
            <w:tcBorders>
              <w:top w:val="nil"/>
              <w:left w:val="nil"/>
              <w:bottom w:val="single" w:color="auto"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各企业</w:t>
            </w:r>
          </w:p>
        </w:tc>
        <w:tc>
          <w:tcPr>
            <w:tcW w:w="965" w:type="dxa"/>
            <w:tcBorders>
              <w:top w:val="nil"/>
              <w:left w:val="nil"/>
              <w:bottom w:val="single" w:color="auto" w:sz="4" w:space="0"/>
              <w:right w:val="single" w:color="000000" w:sz="4" w:space="0"/>
            </w:tcBorders>
            <w:noWrap w:val="0"/>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0" w:type="dxa"/>
            <w:tcBorders>
              <w:top w:val="single" w:color="auto" w:sz="4" w:space="0"/>
              <w:left w:val="single" w:color="auto" w:sz="4" w:space="0"/>
              <w:bottom w:val="single" w:color="auto" w:sz="4" w:space="0"/>
              <w:right w:val="single" w:color="000000" w:sz="4" w:space="0"/>
            </w:tcBorders>
            <w:noWrap/>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17</w:t>
            </w:r>
          </w:p>
        </w:tc>
        <w:tc>
          <w:tcPr>
            <w:tcW w:w="1254" w:type="dxa"/>
            <w:tcBorders>
              <w:top w:val="single" w:color="auto" w:sz="4" w:space="0"/>
              <w:left w:val="nil"/>
              <w:bottom w:val="single" w:color="auto"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金融债权“在线赋强公证”业务模式</w:t>
            </w:r>
          </w:p>
        </w:tc>
        <w:tc>
          <w:tcPr>
            <w:tcW w:w="9554" w:type="dxa"/>
            <w:tcBorders>
              <w:top w:val="single" w:color="auto" w:sz="4" w:space="0"/>
              <w:left w:val="nil"/>
              <w:bottom w:val="single" w:color="auto"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利用公证处认可的信息技术手段，进行“人证一致性”验证，验证结果同步到金融机构和公证处。公证处基于金融机构上传到公证系统的合同模板，生成授信合同、公证申请表、公证笔录等，打包推送给借款申请人和金融机构。当事双方在公证处系统平台签署电子债权文书和公证申请资料，对金融债权赋予强制执行效力。出现逾期后，公证处依法核实后出具执行证书申请立案执行，解决金融机构贷后管理中存在的立案难、成本高、耗时长等问题。</w:t>
            </w:r>
          </w:p>
        </w:tc>
        <w:tc>
          <w:tcPr>
            <w:tcW w:w="942" w:type="dxa"/>
            <w:tcBorders>
              <w:top w:val="single" w:color="auto" w:sz="4" w:space="0"/>
              <w:left w:val="nil"/>
              <w:bottom w:val="single" w:color="auto" w:sz="4" w:space="0"/>
              <w:right w:val="single" w:color="000000" w:sz="4" w:space="0"/>
            </w:tcBorders>
            <w:noWrap w:val="0"/>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市司法局</w:t>
            </w:r>
          </w:p>
        </w:tc>
        <w:tc>
          <w:tcPr>
            <w:tcW w:w="965" w:type="dxa"/>
            <w:tcBorders>
              <w:top w:val="single" w:color="auto" w:sz="4" w:space="0"/>
              <w:left w:val="nil"/>
              <w:bottom w:val="single" w:color="auto" w:sz="4" w:space="0"/>
              <w:right w:val="single" w:color="auto" w:sz="4" w:space="0"/>
            </w:tcBorders>
            <w:noWrap w:val="0"/>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13235" w:type="dxa"/>
            <w:gridSpan w:val="5"/>
            <w:tcBorders>
              <w:top w:val="single" w:color="auto" w:sz="4" w:space="0"/>
              <w:left w:val="single" w:color="000000" w:sz="4" w:space="0"/>
              <w:bottom w:val="single" w:color="000000" w:sz="4" w:space="0"/>
              <w:right w:val="single" w:color="000000" w:sz="4" w:space="0"/>
            </w:tcBorders>
            <w:noWrap/>
            <w:vAlign w:val="center"/>
          </w:tcPr>
          <w:p>
            <w:pPr>
              <w:widowControl/>
              <w:spacing w:line="244" w:lineRule="exact"/>
              <w:ind w:left="-63" w:leftChars="-30" w:right="-63" w:rightChars="-30"/>
              <w:rPr>
                <w:rFonts w:ascii="黑体" w:hAnsi="宋体" w:eastAsia="黑体" w:cs="仿宋_GB2312"/>
                <w:kern w:val="0"/>
                <w:szCs w:val="21"/>
              </w:rPr>
            </w:pPr>
            <w:r>
              <w:rPr>
                <w:rFonts w:hint="eastAsia" w:ascii="黑体" w:hAnsi="宋体" w:eastAsia="黑体" w:cs="仿宋_GB2312"/>
                <w:kern w:val="0"/>
                <w:szCs w:val="21"/>
              </w:rPr>
              <w:t>四、事中事后监管（4项）</w:t>
            </w:r>
          </w:p>
        </w:tc>
      </w:tr>
      <w:tr>
        <w:tblPrEx>
          <w:tblCellMar>
            <w:top w:w="0" w:type="dxa"/>
            <w:left w:w="108" w:type="dxa"/>
            <w:bottom w:w="0" w:type="dxa"/>
            <w:right w:w="108" w:type="dxa"/>
          </w:tblCellMar>
        </w:tblPrEx>
        <w:trPr>
          <w:trHeight w:val="284" w:hRule="atLeast"/>
          <w:jc w:val="center"/>
        </w:trPr>
        <w:tc>
          <w:tcPr>
            <w:tcW w:w="520" w:type="dxa"/>
            <w:tcBorders>
              <w:top w:val="nil"/>
              <w:left w:val="single" w:color="000000" w:sz="4" w:space="0"/>
              <w:bottom w:val="single" w:color="000000" w:sz="4" w:space="0"/>
              <w:right w:val="single" w:color="000000" w:sz="4" w:space="0"/>
            </w:tcBorders>
            <w:noWrap/>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18</w:t>
            </w:r>
          </w:p>
        </w:tc>
        <w:tc>
          <w:tcPr>
            <w:tcW w:w="1254"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海事非现场监管制度</w:t>
            </w:r>
          </w:p>
        </w:tc>
        <w:tc>
          <w:tcPr>
            <w:tcW w:w="9554"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推行“零接触”现场检查，充分利用智慧海事业务系统，建立任务融合机制，通过远程监管手段，结合现场巡查精准筛选高风险检查目标，减少不必要现场检查。优化非现场监管手段，建立航运企业、水上施工单位定点联络人制度，建立安全云服务制度，提供线上安全管理培训和技术指导。通过海事智能AR现场支持系统、网络在线视频等方式，对船载货物集装箱实施远程开箱检查。通过海事VGM监管系统，对载货集装箱总重量实施远程验证，促进船载货物集装箱快速通关。优化船员远程管理制度，组织船员在线培训和远程在线考试评估，规范辖区船员换班操作，制定疫情防控期间港口船员换班操作指南，建立船厂等重点单位受伤船员救助跟踪机制，协调伤病救助工作。</w:t>
            </w:r>
          </w:p>
        </w:tc>
        <w:tc>
          <w:tcPr>
            <w:tcW w:w="942"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rPr>
                <w:rFonts w:ascii="宋体" w:hAnsi="宋体" w:cs="仿宋_GB2312"/>
                <w:kern w:val="0"/>
                <w:szCs w:val="21"/>
              </w:rPr>
            </w:pPr>
            <w:r>
              <w:rPr>
                <w:rFonts w:hint="eastAsia" w:ascii="宋体" w:hAnsi="宋体" w:cs="仿宋_GB2312"/>
                <w:kern w:val="0"/>
                <w:szCs w:val="21"/>
              </w:rPr>
              <w:t>深圳海事局</w:t>
            </w:r>
          </w:p>
        </w:tc>
        <w:tc>
          <w:tcPr>
            <w:tcW w:w="965" w:type="dxa"/>
            <w:tcBorders>
              <w:top w:val="nil"/>
              <w:left w:val="nil"/>
              <w:bottom w:val="single" w:color="000000" w:sz="4" w:space="0"/>
              <w:right w:val="single" w:color="000000" w:sz="4" w:space="0"/>
            </w:tcBorders>
            <w:noWrap w:val="0"/>
            <w:vAlign w:val="center"/>
          </w:tcPr>
          <w:p>
            <w:pPr>
              <w:widowControl/>
              <w:spacing w:line="244"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bl>
    <w:p>
      <w:pPr>
        <w:spacing w:line="240" w:lineRule="exact"/>
        <w:rPr>
          <w:rFonts w:hint="eastAsia"/>
        </w:rPr>
      </w:pPr>
    </w:p>
    <w:tbl>
      <w:tblPr>
        <w:tblStyle w:val="4"/>
        <w:tblW w:w="4950" w:type="pct"/>
        <w:jc w:val="center"/>
        <w:tblLayout w:type="fixed"/>
        <w:tblCellMar>
          <w:top w:w="0" w:type="dxa"/>
          <w:left w:w="108" w:type="dxa"/>
          <w:bottom w:w="0" w:type="dxa"/>
          <w:right w:w="108" w:type="dxa"/>
        </w:tblCellMar>
      </w:tblPr>
      <w:tblGrid>
        <w:gridCol w:w="557"/>
        <w:gridCol w:w="1213"/>
        <w:gridCol w:w="10222"/>
        <w:gridCol w:w="1008"/>
        <w:gridCol w:w="1033"/>
      </w:tblGrid>
      <w:tr>
        <w:tblPrEx>
          <w:tblCellMar>
            <w:top w:w="0" w:type="dxa"/>
            <w:left w:w="108" w:type="dxa"/>
            <w:bottom w:w="0" w:type="dxa"/>
            <w:right w:w="108" w:type="dxa"/>
          </w:tblCellMar>
        </w:tblPrEx>
        <w:trPr>
          <w:trHeight w:val="284" w:hRule="atLeast"/>
          <w:tblHeader/>
          <w:jc w:val="center"/>
        </w:trPr>
        <w:tc>
          <w:tcPr>
            <w:tcW w:w="52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试点任务</w:t>
            </w:r>
          </w:p>
        </w:tc>
        <w:tc>
          <w:tcPr>
            <w:tcW w:w="964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实施内容</w:t>
            </w:r>
          </w:p>
        </w:tc>
        <w:tc>
          <w:tcPr>
            <w:tcW w:w="951"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牵头单位</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推广范围</w:t>
            </w:r>
          </w:p>
        </w:tc>
      </w:tr>
      <w:tr>
        <w:tblPrEx>
          <w:tblCellMar>
            <w:top w:w="0" w:type="dxa"/>
            <w:left w:w="108" w:type="dxa"/>
            <w:bottom w:w="0" w:type="dxa"/>
            <w:right w:w="108" w:type="dxa"/>
          </w:tblCellMar>
        </w:tblPrEx>
        <w:trPr>
          <w:trHeight w:val="284" w:hRule="atLeast"/>
          <w:jc w:val="center"/>
        </w:trPr>
        <w:tc>
          <w:tcPr>
            <w:tcW w:w="525" w:type="dxa"/>
            <w:tcBorders>
              <w:top w:val="nil"/>
              <w:left w:val="single" w:color="000000" w:sz="4" w:space="0"/>
              <w:bottom w:val="single" w:color="auto"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19</w:t>
            </w:r>
          </w:p>
        </w:tc>
        <w:tc>
          <w:tcPr>
            <w:tcW w:w="1144" w:type="dxa"/>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船员任解职“不见面”办理</w:t>
            </w:r>
          </w:p>
        </w:tc>
        <w:tc>
          <w:tcPr>
            <w:tcW w:w="9641" w:type="dxa"/>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优化船员任解职线上办理程序，升级船舶报告系统、综合服务平台船员电子申报系统功能，实现船员任解职信息远程申报，航运公司、船长可自主远程为船员申报任解职信息，无须船员到海事政务窗口现场办理。加强事中事后监管，通过加强电子巡查、运用人脸识别等科技手段开展船舶配员和船员任解职现场核查，确保船员适任。</w:t>
            </w:r>
          </w:p>
        </w:tc>
        <w:tc>
          <w:tcPr>
            <w:tcW w:w="951" w:type="dxa"/>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深圳海事局</w:t>
            </w:r>
          </w:p>
        </w:tc>
        <w:tc>
          <w:tcPr>
            <w:tcW w:w="974" w:type="dxa"/>
            <w:tcBorders>
              <w:top w:val="nil"/>
              <w:left w:val="nil"/>
              <w:bottom w:val="single" w:color="auto"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5" w:type="dxa"/>
            <w:tcBorders>
              <w:top w:val="single" w:color="auto" w:sz="4" w:space="0"/>
              <w:left w:val="single" w:color="auto" w:sz="4" w:space="0"/>
              <w:bottom w:val="single" w:color="auto"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20</w:t>
            </w:r>
          </w:p>
        </w:tc>
        <w:tc>
          <w:tcPr>
            <w:tcW w:w="1144" w:type="dxa"/>
            <w:tcBorders>
              <w:top w:val="single" w:color="auto" w:sz="4" w:space="0"/>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弃土运输船舶信用评分机制</w:t>
            </w:r>
          </w:p>
        </w:tc>
        <w:tc>
          <w:tcPr>
            <w:tcW w:w="9641" w:type="dxa"/>
            <w:tcBorders>
              <w:top w:val="single" w:color="auto" w:sz="4" w:space="0"/>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实现弃土运输船舶的差异化管理，指导弃土装船点运营企业建立信用评分机制，实行分类分级管理，安全信用等级高者可享受运营企业优先安排船舶装卸作业等便利，通过差异化管理激励船舶遵章守法。海事部门与运营企业建立信息共享机制，依法共享企业评定的船舶信用等级情况以及日常监管违法信息，企业每季度对弃土运输船舶进行评估后，动态调整其安全信用等级。运用评定结果促进企业落实安全生产主体责任，海事部门结合船舶安检和现场监督等日常执法工作，实时监测船舶航行、靠泊和装载情况，严厉打击超载、超航区航行等违法行为，持续跟踪评估连续多个周期评分等级低的船舶，对其所属公司进行约谈。</w:t>
            </w:r>
          </w:p>
        </w:tc>
        <w:tc>
          <w:tcPr>
            <w:tcW w:w="951" w:type="dxa"/>
            <w:tcBorders>
              <w:top w:val="single" w:color="auto" w:sz="4" w:space="0"/>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深圳海事局</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5" w:type="dxa"/>
            <w:tcBorders>
              <w:top w:val="single" w:color="auto" w:sz="4" w:space="0"/>
              <w:left w:val="single" w:color="000000" w:sz="4" w:space="0"/>
              <w:bottom w:val="single" w:color="000000"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21</w:t>
            </w:r>
          </w:p>
        </w:tc>
        <w:tc>
          <w:tcPr>
            <w:tcW w:w="1144" w:type="dxa"/>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“云上稽查”平台</w:t>
            </w:r>
          </w:p>
        </w:tc>
        <w:tc>
          <w:tcPr>
            <w:tcW w:w="9641" w:type="dxa"/>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市场监督管理部门上线运行“云上稽查”互联网高效综合执法平台，平台在线通联司法鉴定机构和多个商业云，具备“电子数据固化见证”“全网特定数据搜集”“云端数据证据在线提取”三个核心功能，</w:t>
            </w:r>
            <w:r>
              <w:rPr>
                <w:rFonts w:hint="eastAsia" w:ascii="宋体" w:hAnsi="宋体" w:cs="仿宋_GB2312"/>
                <w:spacing w:val="-4"/>
                <w:kern w:val="21"/>
                <w:szCs w:val="21"/>
              </w:rPr>
              <w:t>可按需出具司法鉴定报告。平台保证了执法证据链式关系，提高了数据证据效力与质量，助力执法规范化。</w:t>
            </w:r>
          </w:p>
        </w:tc>
        <w:tc>
          <w:tcPr>
            <w:tcW w:w="951" w:type="dxa"/>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市市场监管局</w:t>
            </w:r>
          </w:p>
        </w:tc>
        <w:tc>
          <w:tcPr>
            <w:tcW w:w="974" w:type="dxa"/>
            <w:tcBorders>
              <w:top w:val="single" w:color="auto" w:sz="4" w:space="0"/>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13235"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6" w:lineRule="exact"/>
              <w:ind w:left="-63" w:leftChars="-30" w:right="-63" w:rightChars="-30"/>
              <w:rPr>
                <w:rFonts w:ascii="黑体" w:hAnsi="宋体" w:eastAsia="黑体" w:cs="仿宋_GB2312"/>
                <w:kern w:val="21"/>
                <w:szCs w:val="21"/>
              </w:rPr>
            </w:pPr>
            <w:r>
              <w:rPr>
                <w:rFonts w:hint="eastAsia" w:ascii="黑体" w:hAnsi="宋体" w:eastAsia="黑体" w:cs="仿宋_GB2312"/>
                <w:kern w:val="21"/>
                <w:szCs w:val="21"/>
              </w:rPr>
              <w:t>五、法治创新（11项）</w:t>
            </w:r>
          </w:p>
        </w:tc>
      </w:tr>
      <w:tr>
        <w:tblPrEx>
          <w:tblCellMar>
            <w:top w:w="0" w:type="dxa"/>
            <w:left w:w="108" w:type="dxa"/>
            <w:bottom w:w="0" w:type="dxa"/>
            <w:right w:w="108" w:type="dxa"/>
          </w:tblCellMar>
        </w:tblPrEx>
        <w:trPr>
          <w:trHeight w:val="284" w:hRule="atLeast"/>
          <w:jc w:val="center"/>
        </w:trPr>
        <w:tc>
          <w:tcPr>
            <w:tcW w:w="525" w:type="dxa"/>
            <w:tcBorders>
              <w:top w:val="nil"/>
              <w:left w:val="single" w:color="000000" w:sz="4" w:space="0"/>
              <w:bottom w:val="single" w:color="000000"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22</w:t>
            </w:r>
          </w:p>
        </w:tc>
        <w:tc>
          <w:tcPr>
            <w:tcW w:w="1144" w:type="dxa"/>
            <w:tcBorders>
              <w:top w:val="nil"/>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区块链版权公共服务平台</w:t>
            </w:r>
          </w:p>
        </w:tc>
        <w:tc>
          <w:tcPr>
            <w:tcW w:w="9641" w:type="dxa"/>
            <w:tcBorders>
              <w:top w:val="nil"/>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版权公共服务平台基于区块链技术，提供版权确权、监测、维权、交易等功能。该平台通过核心层的存证合约、资产合约、交易记账合约及服务层对智能合约的交互和调用机制，为用户提供多种版权保护功能及接口服务并支持区块链节点的扩展。同时，构建以版权服务平台为核心，集版权登记、版权存证、侵权监测、司法取证、法律维权、版权资产管理、版权金融等多种服务为一体的版权保护服务体系，形成市场、行政、司法联动的版权保护协作机制。</w:t>
            </w:r>
          </w:p>
        </w:tc>
        <w:tc>
          <w:tcPr>
            <w:tcW w:w="951" w:type="dxa"/>
            <w:tcBorders>
              <w:top w:val="nil"/>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市前海管理局</w:t>
            </w:r>
          </w:p>
        </w:tc>
        <w:tc>
          <w:tcPr>
            <w:tcW w:w="974" w:type="dxa"/>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5" w:type="dxa"/>
            <w:tcBorders>
              <w:top w:val="nil"/>
              <w:left w:val="single" w:color="000000" w:sz="4" w:space="0"/>
              <w:bottom w:val="single" w:color="auto"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23</w:t>
            </w:r>
          </w:p>
        </w:tc>
        <w:tc>
          <w:tcPr>
            <w:tcW w:w="1144" w:type="dxa"/>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知识产权检察研究机构</w:t>
            </w:r>
          </w:p>
        </w:tc>
        <w:tc>
          <w:tcPr>
            <w:tcW w:w="9641" w:type="dxa"/>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四级共建知识产权检察研究机构，探索技术人员参与案件事实查明机制、知识产权领域检察权行使的证据科学研究平台及知识产权保护一体化平台，为知识产权办案提供文证审查、技术支持，开展涉外、涉港澳等前沿性知识产权问题研究，为区域或国际知识产权保护法律问题提供理论支撑。</w:t>
            </w:r>
          </w:p>
        </w:tc>
        <w:tc>
          <w:tcPr>
            <w:tcW w:w="951" w:type="dxa"/>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市检察院</w:t>
            </w:r>
          </w:p>
        </w:tc>
        <w:tc>
          <w:tcPr>
            <w:tcW w:w="974" w:type="dxa"/>
            <w:tcBorders>
              <w:top w:val="nil"/>
              <w:left w:val="nil"/>
              <w:bottom w:val="single" w:color="auto"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5" w:type="dxa"/>
            <w:tcBorders>
              <w:top w:val="single" w:color="auto" w:sz="4" w:space="0"/>
              <w:left w:val="single" w:color="auto" w:sz="4" w:space="0"/>
              <w:bottom w:val="single" w:color="auto"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24</w:t>
            </w:r>
          </w:p>
        </w:tc>
        <w:tc>
          <w:tcPr>
            <w:tcW w:w="1144" w:type="dxa"/>
            <w:tcBorders>
              <w:top w:val="single" w:color="auto" w:sz="4" w:space="0"/>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“智慧法院”现代化审判体系</w:t>
            </w:r>
          </w:p>
        </w:tc>
        <w:tc>
          <w:tcPr>
            <w:tcW w:w="9641" w:type="dxa"/>
            <w:tcBorders>
              <w:top w:val="single" w:color="auto" w:sz="4" w:space="0"/>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以互联网、大数据、区块链、5G等技术体系为驱动，全面推进智慧法院建设。探索电子诉讼平台深度运用，全面实施网上立案、在线诉讼辅导、在线调解、在线司法确认、在线文书送达等诉讼程序，实现了更加及时精准的诉讼服务。将信息采集、在线查阅、在线审判、文书制作、案件执行等环节全部纳入线上办理，依托“大数据＋区块链”技术，保障法院电子卷宗随案同步生成，实现简约化、无纸化审判。依托5G环境支撑，建设数字化法庭，配备智能庭审、语音识别和庭审直播模块。</w:t>
            </w:r>
          </w:p>
        </w:tc>
        <w:tc>
          <w:tcPr>
            <w:tcW w:w="951" w:type="dxa"/>
            <w:tcBorders>
              <w:top w:val="single" w:color="auto" w:sz="4" w:space="0"/>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市中级人民法院</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5" w:type="dxa"/>
            <w:tcBorders>
              <w:top w:val="single" w:color="auto" w:sz="4" w:space="0"/>
              <w:left w:val="single" w:color="000000" w:sz="4" w:space="0"/>
              <w:bottom w:val="single" w:color="000000"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25</w:t>
            </w:r>
          </w:p>
        </w:tc>
        <w:tc>
          <w:tcPr>
            <w:tcW w:w="1144" w:type="dxa"/>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家庭公证顾问服务模式</w:t>
            </w:r>
          </w:p>
        </w:tc>
        <w:tc>
          <w:tcPr>
            <w:tcW w:w="9641" w:type="dxa"/>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推出家庭公证顾问服务，市民可根据需要在公证处填写申请表，自愿选择或由公证处推荐自己家庭专属的家庭顾问公证员，获取《家庭公证顾问便民服务卡》。家庭公证顾问由一线执业公证员担任，为每一个申请家庭建立家庭公证档案，可提供出生日期、婚姻状况、亲属关系、监护、委托监护、学历学位、工作经历、收入证明、存款证明、营业执照、房产权属证书及其他财产凭证公证和委托书、婚前财产约定、夫妻财产协议等公证服务。</w:t>
            </w:r>
          </w:p>
        </w:tc>
        <w:tc>
          <w:tcPr>
            <w:tcW w:w="951" w:type="dxa"/>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市司法局</w:t>
            </w:r>
          </w:p>
        </w:tc>
        <w:tc>
          <w:tcPr>
            <w:tcW w:w="974" w:type="dxa"/>
            <w:tcBorders>
              <w:top w:val="single" w:color="auto" w:sz="4" w:space="0"/>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bl>
    <w:p>
      <w:pPr>
        <w:spacing w:line="240" w:lineRule="exact"/>
        <w:rPr>
          <w:rFonts w:hint="eastAsia"/>
        </w:rPr>
      </w:pPr>
    </w:p>
    <w:tbl>
      <w:tblPr>
        <w:tblStyle w:val="4"/>
        <w:tblW w:w="4950" w:type="pct"/>
        <w:jc w:val="center"/>
        <w:tblLayout w:type="fixed"/>
        <w:tblCellMar>
          <w:top w:w="0" w:type="dxa"/>
          <w:left w:w="108" w:type="dxa"/>
          <w:bottom w:w="0" w:type="dxa"/>
          <w:right w:w="108" w:type="dxa"/>
        </w:tblCellMar>
      </w:tblPr>
      <w:tblGrid>
        <w:gridCol w:w="556"/>
        <w:gridCol w:w="1205"/>
        <w:gridCol w:w="7"/>
        <w:gridCol w:w="10217"/>
        <w:gridCol w:w="24"/>
        <w:gridCol w:w="984"/>
        <w:gridCol w:w="15"/>
        <w:gridCol w:w="1023"/>
      </w:tblGrid>
      <w:tr>
        <w:tblPrEx>
          <w:tblCellMar>
            <w:top w:w="0" w:type="dxa"/>
            <w:left w:w="108" w:type="dxa"/>
            <w:bottom w:w="0" w:type="dxa"/>
            <w:right w:w="108" w:type="dxa"/>
          </w:tblCellMar>
        </w:tblPrEx>
        <w:trPr>
          <w:trHeight w:val="284" w:hRule="atLeast"/>
          <w:tblHeader/>
          <w:jc w:val="center"/>
        </w:trPr>
        <w:tc>
          <w:tcPr>
            <w:tcW w:w="524"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1137"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试点任务</w:t>
            </w:r>
          </w:p>
        </w:tc>
        <w:tc>
          <w:tcPr>
            <w:tcW w:w="966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实施内容</w:t>
            </w:r>
          </w:p>
        </w:tc>
        <w:tc>
          <w:tcPr>
            <w:tcW w:w="94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牵头单位</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推广范围</w:t>
            </w:r>
          </w:p>
        </w:tc>
      </w:tr>
      <w:tr>
        <w:tblPrEx>
          <w:tblCellMar>
            <w:top w:w="0" w:type="dxa"/>
            <w:left w:w="108" w:type="dxa"/>
            <w:bottom w:w="0" w:type="dxa"/>
            <w:right w:w="108" w:type="dxa"/>
          </w:tblCellMar>
        </w:tblPrEx>
        <w:trPr>
          <w:trHeight w:val="284" w:hRule="atLeast"/>
          <w:jc w:val="center"/>
        </w:trPr>
        <w:tc>
          <w:tcPr>
            <w:tcW w:w="524" w:type="dxa"/>
            <w:tcBorders>
              <w:top w:val="nil"/>
              <w:left w:val="single" w:color="000000" w:sz="4" w:space="0"/>
              <w:bottom w:val="single" w:color="000000"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26</w:t>
            </w:r>
          </w:p>
        </w:tc>
        <w:tc>
          <w:tcPr>
            <w:tcW w:w="1144" w:type="dxa"/>
            <w:gridSpan w:val="2"/>
            <w:tcBorders>
              <w:top w:val="nil"/>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创新线上跨境调解机制</w:t>
            </w:r>
          </w:p>
        </w:tc>
        <w:tc>
          <w:tcPr>
            <w:tcW w:w="9637" w:type="dxa"/>
            <w:tcBorders>
              <w:top w:val="nil"/>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依托法院“融平台”对全部调解案件实行云管理，为在册特邀调解员开通融平台账号，港澳地区调解员无须前往法院，可以在境外通过登录平台进行远程案件接受和管理。港澳地区调解员根据不同地区当事人不同通讯习惯，活用电子邮件、微信、WhatsApp等域内外各类社交软件开展线上调解工作。借助5G技术实现在线司法确认，当事人在调解员主持下，确认符合法律规定的调解协议，实现法院、当事人、特邀调解员同时在线司法确认。</w:t>
            </w:r>
          </w:p>
        </w:tc>
        <w:tc>
          <w:tcPr>
            <w:tcW w:w="951" w:type="dxa"/>
            <w:gridSpan w:val="2"/>
            <w:tcBorders>
              <w:top w:val="nil"/>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市中级人民法院</w:t>
            </w:r>
          </w:p>
        </w:tc>
        <w:tc>
          <w:tcPr>
            <w:tcW w:w="979" w:type="dxa"/>
            <w:gridSpan w:val="2"/>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4" w:type="dxa"/>
            <w:tcBorders>
              <w:top w:val="nil"/>
              <w:left w:val="single" w:color="000000" w:sz="4" w:space="0"/>
              <w:bottom w:val="single" w:color="auto"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27</w:t>
            </w:r>
          </w:p>
        </w:tc>
        <w:tc>
          <w:tcPr>
            <w:tcW w:w="1144" w:type="dxa"/>
            <w:gridSpan w:val="2"/>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“链上”金融审判体系</w:t>
            </w:r>
          </w:p>
        </w:tc>
        <w:tc>
          <w:tcPr>
            <w:tcW w:w="9637" w:type="dxa"/>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建设金融云审系统，将包括合同、履行、催收情况在内的交易数据，实时同步存储于链上，发生纠纷时，交易数据完整提交法院。实现当事人自助录入起诉要素立案，根据当事人意愿以电子方式送达诉讼各阶段法律文书。兼容“微法院”平台，实现庭审、调解视频自动留痕、证据线上展示、笔录电子确认等功能。根据案件事实要素，辅以令状式、表格式裁判文书的形式，智能形成裁判文书草稿。依托云审系统完善线上调解平台，引入行业、律师、专家调解等多种调解方式，实现在线签订调解协议、在线完成司法确认等功能。</w:t>
            </w:r>
          </w:p>
        </w:tc>
        <w:tc>
          <w:tcPr>
            <w:tcW w:w="951" w:type="dxa"/>
            <w:gridSpan w:val="2"/>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市中级人民法院</w:t>
            </w:r>
          </w:p>
        </w:tc>
        <w:tc>
          <w:tcPr>
            <w:tcW w:w="979" w:type="dxa"/>
            <w:gridSpan w:val="2"/>
            <w:tcBorders>
              <w:top w:val="nil"/>
              <w:left w:val="nil"/>
              <w:bottom w:val="single" w:color="auto"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4" w:type="dxa"/>
            <w:tcBorders>
              <w:top w:val="single" w:color="auto" w:sz="4" w:space="0"/>
              <w:left w:val="single" w:color="auto" w:sz="4" w:space="0"/>
              <w:bottom w:val="single" w:color="auto"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28</w:t>
            </w:r>
          </w:p>
        </w:tc>
        <w:tc>
          <w:tcPr>
            <w:tcW w:w="1144" w:type="dxa"/>
            <w:gridSpan w:val="2"/>
            <w:tcBorders>
              <w:top w:val="single" w:color="auto" w:sz="4" w:space="0"/>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诚信企业司法激励机制</w:t>
            </w:r>
          </w:p>
        </w:tc>
        <w:tc>
          <w:tcPr>
            <w:tcW w:w="9637" w:type="dxa"/>
            <w:tcBorders>
              <w:top w:val="single" w:color="auto" w:sz="4" w:space="0"/>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建立诚信企业清单共享机制，信用主管单位从失信违规、经营情况、荣誉成果、关联风险、舆情信息等五个维度，评定出信用A类企业并建立信息共享机制，与法院及时共享诚信企业清单。完善诚信企业司法激励机制，法院在符合条件的情况下，对于被认定为信用A类且无不良司法记录的企业，在执行过程中将采取更灵活温和的执行措施。</w:t>
            </w:r>
          </w:p>
        </w:tc>
        <w:tc>
          <w:tcPr>
            <w:tcW w:w="951" w:type="dxa"/>
            <w:gridSpan w:val="2"/>
            <w:tcBorders>
              <w:top w:val="single" w:color="auto" w:sz="4" w:space="0"/>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市中级人民法院</w:t>
            </w:r>
          </w:p>
        </w:tc>
        <w:tc>
          <w:tcPr>
            <w:tcW w:w="979"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4" w:type="dxa"/>
            <w:tcBorders>
              <w:top w:val="single" w:color="auto" w:sz="4" w:space="0"/>
              <w:left w:val="single" w:color="000000" w:sz="4" w:space="0"/>
              <w:bottom w:val="single" w:color="000000"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29</w:t>
            </w:r>
          </w:p>
        </w:tc>
        <w:tc>
          <w:tcPr>
            <w:tcW w:w="1144" w:type="dxa"/>
            <w:gridSpan w:val="2"/>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区块链线上公证选房系统</w:t>
            </w:r>
          </w:p>
        </w:tc>
        <w:tc>
          <w:tcPr>
            <w:tcW w:w="9637" w:type="dxa"/>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公证机构根据申请，协助房地产开发商拟定商品房销售流程、规则、公告。开发商通过线上认筹，收集意向资料并进行审核、登记，公示无异议后将认筹名册提交公证机构查重去重，后采用公证摇号软件系统，对认筹名单进行公证摇号排序，确定意向购房人选房购房先后顺序，并将意向购房人身份信息导入区块链公证选房系统。各意向购房人在系统按公证摇号排序顺序，依次选房，在线完成认购书等相关购房手续资料，相关信息实时上传区块链并电子存证。</w:t>
            </w:r>
          </w:p>
        </w:tc>
        <w:tc>
          <w:tcPr>
            <w:tcW w:w="951" w:type="dxa"/>
            <w:gridSpan w:val="2"/>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市司法局市住房建设局</w:t>
            </w:r>
          </w:p>
        </w:tc>
        <w:tc>
          <w:tcPr>
            <w:tcW w:w="979" w:type="dxa"/>
            <w:gridSpan w:val="2"/>
            <w:tcBorders>
              <w:top w:val="single" w:color="auto" w:sz="4" w:space="0"/>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4" w:type="dxa"/>
            <w:tcBorders>
              <w:top w:val="nil"/>
              <w:left w:val="single" w:color="000000" w:sz="4" w:space="0"/>
              <w:bottom w:val="single" w:color="000000"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30</w:t>
            </w:r>
          </w:p>
        </w:tc>
        <w:tc>
          <w:tcPr>
            <w:tcW w:w="1144" w:type="dxa"/>
            <w:gridSpan w:val="2"/>
            <w:tcBorders>
              <w:top w:val="nil"/>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立法确认区域改革创新举措</w:t>
            </w:r>
          </w:p>
        </w:tc>
        <w:tc>
          <w:tcPr>
            <w:tcW w:w="9637" w:type="dxa"/>
            <w:tcBorders>
              <w:top w:val="nil"/>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通过立法将自贸片区改革创新系列制度和举措予以确认、优化、完善，形成自贸试验片区条例。以制度集成创新为核心，从管理体制、投资开放、贸易自由化、金融开放与创新、监管与服务和法治环境等方面进行制度设计，构建与自贸片区发展相适应的管理体制架构，推动投资开放，促进贸易自由化，支持金融业对外开放试验，创新自贸片区监督与服务。</w:t>
            </w:r>
          </w:p>
        </w:tc>
        <w:tc>
          <w:tcPr>
            <w:tcW w:w="951" w:type="dxa"/>
            <w:gridSpan w:val="2"/>
            <w:tcBorders>
              <w:top w:val="nil"/>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市司法局市人大常委会法工委</w:t>
            </w:r>
          </w:p>
        </w:tc>
        <w:tc>
          <w:tcPr>
            <w:tcW w:w="979" w:type="dxa"/>
            <w:gridSpan w:val="2"/>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4" w:type="dxa"/>
            <w:tcBorders>
              <w:top w:val="nil"/>
              <w:left w:val="single" w:color="000000" w:sz="4" w:space="0"/>
              <w:bottom w:val="single" w:color="auto"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31</w:t>
            </w:r>
          </w:p>
        </w:tc>
        <w:tc>
          <w:tcPr>
            <w:tcW w:w="1144" w:type="dxa"/>
            <w:gridSpan w:val="2"/>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知识产权海外维权援助机制</w:t>
            </w:r>
          </w:p>
        </w:tc>
        <w:tc>
          <w:tcPr>
            <w:tcW w:w="9637" w:type="dxa"/>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推动海外知识产权布局，开展海外专利分析预警，为企业“出海”布局提供指引。以快速预审为依托，为企业海外专利布局“提速”，加快企业开拓国际市场步伐。多途径完善海外维权体系，监测“美国337调查”并快速响应。聚焦重点涉外案件和企业，协调资源支持。建设海外法律信息库、海外维权专家库、海外服务机构库。多渠道促进海外维权意识能力提升，打造海外维权沙龙品牌，建立常态化信息共享机制，为涉外企业提供海外维权经验分享和交流合作平台。依托微信公众号，通过新颖直观方式普及海外维权法律知识，加大海外维权宣传力度。</w:t>
            </w:r>
          </w:p>
        </w:tc>
        <w:tc>
          <w:tcPr>
            <w:tcW w:w="951" w:type="dxa"/>
            <w:gridSpan w:val="2"/>
            <w:tcBorders>
              <w:top w:val="nil"/>
              <w:left w:val="nil"/>
              <w:bottom w:val="single" w:color="auto"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市市场监管局</w:t>
            </w:r>
          </w:p>
        </w:tc>
        <w:tc>
          <w:tcPr>
            <w:tcW w:w="979" w:type="dxa"/>
            <w:gridSpan w:val="2"/>
            <w:tcBorders>
              <w:top w:val="nil"/>
              <w:left w:val="nil"/>
              <w:bottom w:val="single" w:color="auto"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4" w:type="dxa"/>
            <w:tcBorders>
              <w:top w:val="single" w:color="auto" w:sz="4" w:space="0"/>
              <w:left w:val="single" w:color="auto" w:sz="4" w:space="0"/>
              <w:bottom w:val="single" w:color="000000" w:sz="4" w:space="0"/>
              <w:right w:val="single" w:color="000000" w:sz="4" w:space="0"/>
            </w:tcBorders>
            <w:noWrap/>
            <w:vAlign w:val="center"/>
          </w:tcPr>
          <w:p>
            <w:pPr>
              <w:widowControl/>
              <w:spacing w:line="246" w:lineRule="exact"/>
              <w:ind w:left="-63" w:leftChars="-30" w:right="-63" w:rightChars="-30"/>
              <w:jc w:val="center"/>
              <w:rPr>
                <w:rFonts w:ascii="宋体" w:hAnsi="宋体" w:cs="仿宋_GB2312"/>
                <w:kern w:val="21"/>
                <w:szCs w:val="21"/>
              </w:rPr>
            </w:pPr>
            <w:r>
              <w:rPr>
                <w:rFonts w:hint="eastAsia" w:ascii="宋体" w:hAnsi="宋体" w:cs="仿宋_GB2312"/>
                <w:kern w:val="21"/>
                <w:szCs w:val="21"/>
              </w:rPr>
              <w:t>32</w:t>
            </w:r>
          </w:p>
        </w:tc>
        <w:tc>
          <w:tcPr>
            <w:tcW w:w="1144" w:type="dxa"/>
            <w:gridSpan w:val="2"/>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区域性港澳法律研究平台</w:t>
            </w:r>
          </w:p>
        </w:tc>
        <w:tc>
          <w:tcPr>
            <w:tcW w:w="9637" w:type="dxa"/>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spacing w:val="-2"/>
                <w:kern w:val="21"/>
                <w:szCs w:val="21"/>
              </w:rPr>
            </w:pPr>
            <w:r>
              <w:rPr>
                <w:rFonts w:hint="eastAsia" w:ascii="宋体" w:hAnsi="宋体" w:cs="仿宋_GB2312"/>
                <w:spacing w:val="-2"/>
                <w:kern w:val="21"/>
                <w:szCs w:val="21"/>
              </w:rPr>
              <w:t>设立区域性港澳法律研究平台，聚焦适应于“一国两制”新实践的港澳法学研究的重大课题，集合全国性</w:t>
            </w:r>
            <w:r>
              <w:rPr>
                <w:rFonts w:hint="eastAsia" w:ascii="宋体" w:hAnsi="宋体" w:cs="仿宋_GB2312"/>
                <w:kern w:val="21"/>
                <w:szCs w:val="21"/>
              </w:rPr>
              <w:t>港澳法律资源，打造国际一流港澳法律研究平台，为“一国两制”实践在宪法和基本法规定的轨道上行稳致远提供理论支撑，提供港澳法研究方面的人才和智力支持，搭建港澳法律的研究平台和交流平台。</w:t>
            </w:r>
          </w:p>
        </w:tc>
        <w:tc>
          <w:tcPr>
            <w:tcW w:w="951" w:type="dxa"/>
            <w:gridSpan w:val="2"/>
            <w:tcBorders>
              <w:top w:val="single" w:color="auto" w:sz="4" w:space="0"/>
              <w:left w:val="nil"/>
              <w:bottom w:val="single" w:color="000000" w:sz="4" w:space="0"/>
              <w:right w:val="single" w:color="000000" w:sz="4" w:space="0"/>
            </w:tcBorders>
            <w:noWrap w:val="0"/>
            <w:vAlign w:val="center"/>
          </w:tcPr>
          <w:p>
            <w:pPr>
              <w:widowControl/>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市法学会</w:t>
            </w:r>
          </w:p>
        </w:tc>
        <w:tc>
          <w:tcPr>
            <w:tcW w:w="979" w:type="dxa"/>
            <w:gridSpan w:val="2"/>
            <w:tcBorders>
              <w:top w:val="single" w:color="auto" w:sz="4" w:space="0"/>
              <w:left w:val="nil"/>
              <w:bottom w:val="single" w:color="000000" w:sz="4" w:space="0"/>
              <w:right w:val="single" w:color="auto"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bl>
    <w:p>
      <w:pPr>
        <w:rPr>
          <w:rFonts w:hint="eastAsia"/>
        </w:rPr>
      </w:pPr>
    </w:p>
    <w:tbl>
      <w:tblPr>
        <w:tblStyle w:val="4"/>
        <w:tblW w:w="4950" w:type="pct"/>
        <w:jc w:val="center"/>
        <w:tblLayout w:type="fixed"/>
        <w:tblCellMar>
          <w:top w:w="0" w:type="dxa"/>
          <w:left w:w="108" w:type="dxa"/>
          <w:bottom w:w="0" w:type="dxa"/>
          <w:right w:w="108" w:type="dxa"/>
        </w:tblCellMar>
      </w:tblPr>
      <w:tblGrid>
        <w:gridCol w:w="554"/>
        <w:gridCol w:w="1207"/>
        <w:gridCol w:w="6"/>
        <w:gridCol w:w="10214"/>
        <w:gridCol w:w="29"/>
        <w:gridCol w:w="980"/>
        <w:gridCol w:w="19"/>
        <w:gridCol w:w="1023"/>
      </w:tblGrid>
      <w:tr>
        <w:tblPrEx>
          <w:tblCellMar>
            <w:top w:w="0" w:type="dxa"/>
            <w:left w:w="108" w:type="dxa"/>
            <w:bottom w:w="0" w:type="dxa"/>
            <w:right w:w="108" w:type="dxa"/>
          </w:tblCellMar>
        </w:tblPrEx>
        <w:trPr>
          <w:trHeight w:val="284" w:hRule="atLeast"/>
          <w:tblHeader/>
          <w:jc w:val="center"/>
        </w:trPr>
        <w:tc>
          <w:tcPr>
            <w:tcW w:w="523"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试点任务</w:t>
            </w:r>
          </w:p>
        </w:tc>
        <w:tc>
          <w:tcPr>
            <w:tcW w:w="966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实施内容</w:t>
            </w:r>
          </w:p>
        </w:tc>
        <w:tc>
          <w:tcPr>
            <w:tcW w:w="94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牵头单位</w:t>
            </w:r>
          </w:p>
        </w:tc>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推广范围</w:t>
            </w:r>
          </w:p>
        </w:tc>
      </w:tr>
      <w:tr>
        <w:tblPrEx>
          <w:tblCellMar>
            <w:top w:w="0" w:type="dxa"/>
            <w:left w:w="108" w:type="dxa"/>
            <w:bottom w:w="0" w:type="dxa"/>
            <w:right w:w="108" w:type="dxa"/>
          </w:tblCellMar>
        </w:tblPrEx>
        <w:trPr>
          <w:trHeight w:val="284" w:hRule="atLeast"/>
          <w:jc w:val="center"/>
        </w:trPr>
        <w:tc>
          <w:tcPr>
            <w:tcW w:w="13235" w:type="dxa"/>
            <w:gridSpan w:val="8"/>
            <w:tcBorders>
              <w:top w:val="single" w:color="000000" w:sz="4" w:space="0"/>
              <w:left w:val="single" w:color="auto" w:sz="4" w:space="0"/>
              <w:bottom w:val="single" w:color="auto" w:sz="4" w:space="0"/>
              <w:right w:val="single" w:color="auto" w:sz="4" w:space="0"/>
            </w:tcBorders>
            <w:noWrap/>
            <w:vAlign w:val="center"/>
          </w:tcPr>
          <w:p>
            <w:pPr>
              <w:widowControl/>
              <w:spacing w:line="260" w:lineRule="exact"/>
              <w:ind w:left="-63" w:leftChars="-30" w:right="-63" w:rightChars="-30"/>
              <w:rPr>
                <w:rFonts w:ascii="黑体" w:hAnsi="宋体" w:eastAsia="黑体" w:cs="仿宋_GB2312"/>
                <w:kern w:val="0"/>
                <w:szCs w:val="21"/>
              </w:rPr>
            </w:pPr>
            <w:r>
              <w:rPr>
                <w:rFonts w:hint="eastAsia" w:ascii="黑体" w:hAnsi="宋体" w:eastAsia="黑体" w:cs="仿宋_GB2312"/>
                <w:kern w:val="0"/>
                <w:szCs w:val="21"/>
              </w:rPr>
              <w:t>六、人才管理改革（2项）</w:t>
            </w:r>
          </w:p>
        </w:tc>
      </w:tr>
      <w:tr>
        <w:tblPrEx>
          <w:tblCellMar>
            <w:top w:w="0" w:type="dxa"/>
            <w:left w:w="108" w:type="dxa"/>
            <w:bottom w:w="0" w:type="dxa"/>
            <w:right w:w="108" w:type="dxa"/>
          </w:tblCellMar>
        </w:tblPrEx>
        <w:trPr>
          <w:trHeight w:val="284" w:hRule="atLeast"/>
          <w:jc w:val="center"/>
        </w:trPr>
        <w:tc>
          <w:tcPr>
            <w:tcW w:w="523" w:type="dxa"/>
            <w:tcBorders>
              <w:top w:val="single" w:color="auto" w:sz="4" w:space="0"/>
              <w:left w:val="single" w:color="000000" w:sz="4" w:space="0"/>
              <w:bottom w:val="single" w:color="000000" w:sz="4" w:space="0"/>
              <w:right w:val="single" w:color="000000" w:sz="4" w:space="0"/>
            </w:tcBorders>
            <w:noWrap/>
            <w:vAlign w:val="center"/>
          </w:tcPr>
          <w:p>
            <w:pPr>
              <w:widowControl/>
              <w:spacing w:line="252" w:lineRule="exact"/>
              <w:ind w:left="-63" w:leftChars="-30" w:right="-63" w:rightChars="-30"/>
              <w:jc w:val="center"/>
              <w:rPr>
                <w:rFonts w:ascii="宋体" w:hAnsi="宋体" w:cs="仿宋_GB2312"/>
                <w:kern w:val="21"/>
                <w:szCs w:val="21"/>
              </w:rPr>
            </w:pPr>
            <w:r>
              <w:rPr>
                <w:rFonts w:hint="eastAsia" w:ascii="宋体" w:hAnsi="宋体" w:cs="仿宋_GB2312"/>
                <w:kern w:val="21"/>
                <w:szCs w:val="21"/>
              </w:rPr>
              <w:t>33</w:t>
            </w:r>
          </w:p>
        </w:tc>
        <w:tc>
          <w:tcPr>
            <w:tcW w:w="1144" w:type="dxa"/>
            <w:gridSpan w:val="2"/>
            <w:tcBorders>
              <w:top w:val="single" w:color="auto" w:sz="4" w:space="0"/>
              <w:left w:val="nil"/>
              <w:bottom w:val="single" w:color="000000"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港澳台侨大学生实习实践平台</w:t>
            </w:r>
          </w:p>
        </w:tc>
        <w:tc>
          <w:tcPr>
            <w:tcW w:w="9634" w:type="dxa"/>
            <w:tcBorders>
              <w:top w:val="single" w:color="auto" w:sz="4" w:space="0"/>
              <w:left w:val="nil"/>
              <w:bottom w:val="single" w:color="000000"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打造港澳台侨大学生实习实践平台，吸引更多内地及港澳台高校的港澳台侨大学生来实习实践。联合高校建设实践基地，常态化组织港澳台大学生到各类企业及机构开展实习实践。组织百企千人大学生实习计划，每年组织百家以上企业及机构，为港澳台侨大学生提供千个以上实习岗位。利用空间场所和各类便利条件，集聚优势资源打造港澳台青年培训交流基地。提供实习补贴，完善有关支持企业吸收港澳台侨大学生就业的政策措施，提升奖励、补贴、支持力度，每年组织企业面向合作共建大学港澳台侨大学生专场招聘会。</w:t>
            </w:r>
          </w:p>
        </w:tc>
        <w:tc>
          <w:tcPr>
            <w:tcW w:w="951" w:type="dxa"/>
            <w:gridSpan w:val="2"/>
            <w:tcBorders>
              <w:top w:val="single" w:color="auto" w:sz="4" w:space="0"/>
              <w:left w:val="nil"/>
              <w:bottom w:val="single" w:color="000000"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市人力资源保障局、市委外办、市港澳办、市委台办</w:t>
            </w:r>
          </w:p>
        </w:tc>
        <w:tc>
          <w:tcPr>
            <w:tcW w:w="983" w:type="dxa"/>
            <w:gridSpan w:val="2"/>
            <w:tcBorders>
              <w:top w:val="single" w:color="auto" w:sz="4" w:space="0"/>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3" w:type="dxa"/>
            <w:tcBorders>
              <w:top w:val="nil"/>
              <w:left w:val="single" w:color="000000" w:sz="4" w:space="0"/>
              <w:bottom w:val="single" w:color="000000" w:sz="4" w:space="0"/>
              <w:right w:val="single" w:color="000000" w:sz="4" w:space="0"/>
            </w:tcBorders>
            <w:noWrap/>
            <w:vAlign w:val="center"/>
          </w:tcPr>
          <w:p>
            <w:pPr>
              <w:widowControl/>
              <w:spacing w:line="252" w:lineRule="exact"/>
              <w:ind w:left="-63" w:leftChars="-30" w:right="-63" w:rightChars="-30"/>
              <w:jc w:val="center"/>
              <w:rPr>
                <w:rFonts w:ascii="宋体" w:hAnsi="宋体" w:cs="仿宋_GB2312"/>
                <w:kern w:val="21"/>
                <w:szCs w:val="21"/>
              </w:rPr>
            </w:pPr>
            <w:r>
              <w:rPr>
                <w:rFonts w:hint="eastAsia" w:ascii="宋体" w:hAnsi="宋体" w:cs="仿宋_GB2312"/>
                <w:kern w:val="21"/>
                <w:szCs w:val="21"/>
              </w:rPr>
              <w:t>34</w:t>
            </w:r>
          </w:p>
        </w:tc>
        <w:tc>
          <w:tcPr>
            <w:tcW w:w="1144" w:type="dxa"/>
            <w:gridSpan w:val="2"/>
            <w:tcBorders>
              <w:top w:val="nil"/>
              <w:left w:val="nil"/>
              <w:bottom w:val="single" w:color="000000"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港澳台侨青年教育研究平台</w:t>
            </w:r>
          </w:p>
        </w:tc>
        <w:tc>
          <w:tcPr>
            <w:tcW w:w="9634" w:type="dxa"/>
            <w:tcBorders>
              <w:top w:val="nil"/>
              <w:left w:val="nil"/>
              <w:bottom w:val="single" w:color="000000"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支持合作共建大学高等产业创新教研机构落户，为港澳青年“学习、实习、就业”一体化成长提供新的路径。依托粤港澳大湾区研究机构，共同推动建设高水平港澳研究基地。支持合作共建大学设立博士后创新实践基地和博士后工作站，引进一批港澳博士和博士后人才参与粤港澳大湾区和先行示范区建设。加强面向港澳的研究合作，合作推动一批高质量研究项目，为政府更好地制定面向港澳台侨青年的各类政策提供支撑。发起设立或推动一批粤港澳合作的高水平新型研发机构落户，打造国际科技创新重要基地。</w:t>
            </w:r>
          </w:p>
        </w:tc>
        <w:tc>
          <w:tcPr>
            <w:tcW w:w="951" w:type="dxa"/>
            <w:gridSpan w:val="2"/>
            <w:tcBorders>
              <w:top w:val="nil"/>
              <w:left w:val="nil"/>
              <w:bottom w:val="single" w:color="000000"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市人力资源保障局、市委外办、市港澳办、市委台办</w:t>
            </w:r>
          </w:p>
        </w:tc>
        <w:tc>
          <w:tcPr>
            <w:tcW w:w="983" w:type="dxa"/>
            <w:gridSpan w:val="2"/>
            <w:tcBorders>
              <w:top w:val="nil"/>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13235" w:type="dxa"/>
            <w:gridSpan w:val="8"/>
            <w:tcBorders>
              <w:top w:val="single" w:color="000000" w:sz="4" w:space="0"/>
              <w:left w:val="single" w:color="000000" w:sz="4" w:space="0"/>
              <w:bottom w:val="single" w:color="auto" w:sz="4" w:space="0"/>
              <w:right w:val="single" w:color="000000" w:sz="4" w:space="0"/>
            </w:tcBorders>
            <w:noWrap/>
            <w:vAlign w:val="center"/>
          </w:tcPr>
          <w:p>
            <w:pPr>
              <w:widowControl/>
              <w:spacing w:line="252" w:lineRule="exact"/>
              <w:ind w:left="-63" w:leftChars="-30" w:right="-63" w:rightChars="-30"/>
              <w:rPr>
                <w:rFonts w:ascii="黑体" w:hAnsi="宋体" w:eastAsia="黑体" w:cs="仿宋_GB2312"/>
                <w:kern w:val="21"/>
                <w:szCs w:val="21"/>
              </w:rPr>
            </w:pPr>
            <w:r>
              <w:rPr>
                <w:rFonts w:hint="eastAsia" w:ascii="黑体" w:hAnsi="宋体" w:eastAsia="黑体" w:cs="仿宋_GB2312"/>
                <w:kern w:val="21"/>
                <w:szCs w:val="21"/>
              </w:rPr>
              <w:t>七、体制机制创新（4项）</w:t>
            </w:r>
          </w:p>
        </w:tc>
      </w:tr>
      <w:tr>
        <w:tblPrEx>
          <w:tblCellMar>
            <w:top w:w="0" w:type="dxa"/>
            <w:left w:w="108" w:type="dxa"/>
            <w:bottom w:w="0" w:type="dxa"/>
            <w:right w:w="108" w:type="dxa"/>
          </w:tblCellMar>
        </w:tblPrEx>
        <w:trPr>
          <w:trHeight w:val="284" w:hRule="atLeast"/>
          <w:jc w:val="center"/>
        </w:trPr>
        <w:tc>
          <w:tcPr>
            <w:tcW w:w="523" w:type="dxa"/>
            <w:tcBorders>
              <w:top w:val="single" w:color="auto" w:sz="4" w:space="0"/>
              <w:left w:val="single" w:color="000000" w:sz="4" w:space="0"/>
              <w:bottom w:val="single" w:color="auto" w:sz="4" w:space="0"/>
              <w:right w:val="single" w:color="000000" w:sz="4" w:space="0"/>
            </w:tcBorders>
            <w:noWrap/>
            <w:vAlign w:val="center"/>
          </w:tcPr>
          <w:p>
            <w:pPr>
              <w:widowControl/>
              <w:spacing w:line="252" w:lineRule="exact"/>
              <w:ind w:left="-63" w:leftChars="-30" w:right="-63" w:rightChars="-30"/>
              <w:jc w:val="center"/>
              <w:rPr>
                <w:rFonts w:ascii="宋体" w:hAnsi="宋体" w:cs="仿宋_GB2312"/>
                <w:kern w:val="21"/>
                <w:szCs w:val="21"/>
              </w:rPr>
            </w:pPr>
            <w:r>
              <w:rPr>
                <w:rFonts w:hint="eastAsia" w:ascii="宋体" w:hAnsi="宋体" w:cs="仿宋_GB2312"/>
                <w:kern w:val="21"/>
                <w:szCs w:val="21"/>
              </w:rPr>
              <w:t>35</w:t>
            </w:r>
          </w:p>
        </w:tc>
        <w:tc>
          <w:tcPr>
            <w:tcW w:w="1144" w:type="dxa"/>
            <w:gridSpan w:val="2"/>
            <w:tcBorders>
              <w:top w:val="single" w:color="auto" w:sz="4" w:space="0"/>
              <w:left w:val="nil"/>
              <w:bottom w:val="single" w:color="auto"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创新水上交通安全多元治理机制</w:t>
            </w:r>
          </w:p>
        </w:tc>
        <w:tc>
          <w:tcPr>
            <w:tcW w:w="9634" w:type="dxa"/>
            <w:tcBorders>
              <w:top w:val="single" w:color="auto" w:sz="4" w:space="0"/>
              <w:left w:val="nil"/>
              <w:bottom w:val="single" w:color="auto"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水上交通安全委员会是由直属海事机关牵头成立、地方政府统一协调的水上交通安全领域常设议事协调机构，执行关于水上交通安全、海域环境保护及水路危险货物运输工作的决策部署，组织协调和指导全市水上交通安全工作。构建涉水交通安全陆海统筹协调机制，增强陆海统筹发展的平衡性和协调性。构建“政府主导、属地负责、海陆联动、齐抓共管、综合治理”的水上交通安全多元治理机制。</w:t>
            </w:r>
          </w:p>
        </w:tc>
        <w:tc>
          <w:tcPr>
            <w:tcW w:w="951" w:type="dxa"/>
            <w:gridSpan w:val="2"/>
            <w:tcBorders>
              <w:top w:val="single" w:color="auto" w:sz="4" w:space="0"/>
              <w:left w:val="nil"/>
              <w:bottom w:val="single" w:color="auto"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深圳海事局</w:t>
            </w:r>
          </w:p>
        </w:tc>
        <w:tc>
          <w:tcPr>
            <w:tcW w:w="983"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3" w:type="dxa"/>
            <w:tcBorders>
              <w:top w:val="single" w:color="auto" w:sz="4" w:space="0"/>
              <w:left w:val="single" w:color="000000" w:sz="4" w:space="0"/>
              <w:bottom w:val="single" w:color="auto" w:sz="4" w:space="0"/>
              <w:right w:val="single" w:color="000000" w:sz="4" w:space="0"/>
            </w:tcBorders>
            <w:noWrap/>
            <w:vAlign w:val="center"/>
          </w:tcPr>
          <w:p>
            <w:pPr>
              <w:widowControl/>
              <w:spacing w:line="252" w:lineRule="exact"/>
              <w:ind w:left="-63" w:leftChars="-30" w:right="-63" w:rightChars="-30"/>
              <w:jc w:val="center"/>
              <w:rPr>
                <w:rFonts w:ascii="宋体" w:hAnsi="宋体" w:cs="仿宋_GB2312"/>
                <w:kern w:val="21"/>
                <w:szCs w:val="21"/>
              </w:rPr>
            </w:pPr>
            <w:r>
              <w:rPr>
                <w:rFonts w:hint="eastAsia" w:ascii="宋体" w:hAnsi="宋体" w:cs="仿宋_GB2312"/>
                <w:kern w:val="21"/>
                <w:szCs w:val="21"/>
              </w:rPr>
              <w:t>36</w:t>
            </w:r>
          </w:p>
        </w:tc>
        <w:tc>
          <w:tcPr>
            <w:tcW w:w="1144" w:type="dxa"/>
            <w:gridSpan w:val="2"/>
            <w:tcBorders>
              <w:top w:val="single" w:color="auto" w:sz="4" w:space="0"/>
              <w:left w:val="nil"/>
              <w:bottom w:val="single" w:color="auto"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“指挥部＋两平台”建设管理模式</w:t>
            </w:r>
          </w:p>
        </w:tc>
        <w:tc>
          <w:tcPr>
            <w:tcW w:w="9634" w:type="dxa"/>
            <w:tcBorders>
              <w:top w:val="single" w:color="auto" w:sz="4" w:space="0"/>
              <w:left w:val="nil"/>
              <w:bottom w:val="single" w:color="auto"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引入第三方安全巡查平台和统筹协调平台，推出“指挥部＋两平台”建设管理模式。指挥部作为决策主体，统筹各方利益，系统推进区域开发建设，统筹推进区域整体建设，包括固定资产投资与重大项目进度统筹督办、片区（重点单元）房建与配套设施协同建设前期研究与过程协调、工程项目群集中交付统筹协调等。开展第三方安全质量巡查，协调督办建设项目文明施工、扬尘治理、排水管理、噪音扰民、劳资纠纷等。该模式先行适用于政府主导的区域开发建设，取得示范经验后推广。</w:t>
            </w:r>
          </w:p>
        </w:tc>
        <w:tc>
          <w:tcPr>
            <w:tcW w:w="951" w:type="dxa"/>
            <w:gridSpan w:val="2"/>
            <w:tcBorders>
              <w:top w:val="single" w:color="auto" w:sz="4" w:space="0"/>
              <w:left w:val="nil"/>
              <w:bottom w:val="single" w:color="auto"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市住房建设局</w:t>
            </w:r>
          </w:p>
        </w:tc>
        <w:tc>
          <w:tcPr>
            <w:tcW w:w="983"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3" w:type="dxa"/>
            <w:tcBorders>
              <w:top w:val="single" w:color="auto" w:sz="4" w:space="0"/>
              <w:left w:val="single" w:color="000000" w:sz="4" w:space="0"/>
              <w:bottom w:val="single" w:color="auto" w:sz="4" w:space="0"/>
              <w:right w:val="single" w:color="000000" w:sz="4" w:space="0"/>
            </w:tcBorders>
            <w:noWrap/>
            <w:vAlign w:val="center"/>
          </w:tcPr>
          <w:p>
            <w:pPr>
              <w:widowControl/>
              <w:spacing w:line="252" w:lineRule="exact"/>
              <w:ind w:left="-63" w:leftChars="-30" w:right="-63" w:rightChars="-30"/>
              <w:jc w:val="center"/>
              <w:rPr>
                <w:rFonts w:ascii="宋体" w:hAnsi="宋体" w:cs="仿宋_GB2312"/>
                <w:kern w:val="21"/>
                <w:szCs w:val="21"/>
              </w:rPr>
            </w:pPr>
            <w:r>
              <w:rPr>
                <w:rFonts w:hint="eastAsia" w:ascii="宋体" w:hAnsi="宋体" w:cs="仿宋_GB2312"/>
                <w:kern w:val="21"/>
                <w:szCs w:val="21"/>
              </w:rPr>
              <w:t>37</w:t>
            </w:r>
          </w:p>
        </w:tc>
        <w:tc>
          <w:tcPr>
            <w:tcW w:w="1144" w:type="dxa"/>
            <w:gridSpan w:val="2"/>
            <w:tcBorders>
              <w:top w:val="single" w:color="auto" w:sz="4" w:space="0"/>
              <w:left w:val="nil"/>
              <w:bottom w:val="single" w:color="auto"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特殊经济区自由贸易创新联盟</w:t>
            </w:r>
          </w:p>
        </w:tc>
        <w:tc>
          <w:tcPr>
            <w:tcW w:w="9634" w:type="dxa"/>
            <w:tcBorders>
              <w:top w:val="single" w:color="auto" w:sz="4" w:space="0"/>
              <w:left w:val="nil"/>
              <w:bottom w:val="single" w:color="auto"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特殊经济区联盟的境外成员单位包括白俄罗斯、尼日利亚、柬埔寨等，境内单位包括自贸片区创新联盟的47个片区或区域。特殊经济区联盟在经贸合作、基础设施建设、金融服务、科技赋能、产业合作、协同创新及政策沟通、建立专业平台、建立对话及争议解决机制等方面加强合作。</w:t>
            </w:r>
          </w:p>
        </w:tc>
        <w:tc>
          <w:tcPr>
            <w:tcW w:w="951" w:type="dxa"/>
            <w:gridSpan w:val="2"/>
            <w:tcBorders>
              <w:top w:val="single" w:color="auto" w:sz="4" w:space="0"/>
              <w:left w:val="nil"/>
              <w:bottom w:val="single" w:color="auto"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市商务局</w:t>
            </w:r>
          </w:p>
        </w:tc>
        <w:tc>
          <w:tcPr>
            <w:tcW w:w="983"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r>
        <w:tblPrEx>
          <w:tblCellMar>
            <w:top w:w="0" w:type="dxa"/>
            <w:left w:w="108" w:type="dxa"/>
            <w:bottom w:w="0" w:type="dxa"/>
            <w:right w:w="108" w:type="dxa"/>
          </w:tblCellMar>
        </w:tblPrEx>
        <w:trPr>
          <w:trHeight w:val="284" w:hRule="atLeast"/>
          <w:jc w:val="center"/>
        </w:trPr>
        <w:tc>
          <w:tcPr>
            <w:tcW w:w="523" w:type="dxa"/>
            <w:tcBorders>
              <w:top w:val="single" w:color="auto" w:sz="4" w:space="0"/>
              <w:left w:val="single" w:color="000000" w:sz="4" w:space="0"/>
              <w:bottom w:val="single" w:color="000000" w:sz="4" w:space="0"/>
              <w:right w:val="single" w:color="000000" w:sz="4" w:space="0"/>
            </w:tcBorders>
            <w:noWrap/>
            <w:vAlign w:val="center"/>
          </w:tcPr>
          <w:p>
            <w:pPr>
              <w:widowControl/>
              <w:spacing w:line="252" w:lineRule="exact"/>
              <w:ind w:left="-63" w:leftChars="-30" w:right="-63" w:rightChars="-30"/>
              <w:jc w:val="center"/>
              <w:rPr>
                <w:rFonts w:ascii="宋体" w:hAnsi="宋体" w:cs="仿宋_GB2312"/>
                <w:kern w:val="21"/>
                <w:szCs w:val="21"/>
              </w:rPr>
            </w:pPr>
            <w:r>
              <w:rPr>
                <w:rFonts w:hint="eastAsia" w:ascii="宋体" w:hAnsi="宋体" w:cs="仿宋_GB2312"/>
                <w:kern w:val="21"/>
                <w:szCs w:val="21"/>
              </w:rPr>
              <w:t>38</w:t>
            </w:r>
          </w:p>
        </w:tc>
        <w:tc>
          <w:tcPr>
            <w:tcW w:w="1144" w:type="dxa"/>
            <w:gridSpan w:val="2"/>
            <w:tcBorders>
              <w:top w:val="single" w:color="auto" w:sz="4" w:space="0"/>
              <w:left w:val="nil"/>
              <w:bottom w:val="single" w:color="000000"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建设私募基金行业自律组织</w:t>
            </w:r>
          </w:p>
        </w:tc>
        <w:tc>
          <w:tcPr>
            <w:tcW w:w="9634" w:type="dxa"/>
            <w:tcBorders>
              <w:top w:val="single" w:color="auto" w:sz="4" w:space="0"/>
              <w:left w:val="nil"/>
              <w:bottom w:val="single" w:color="000000"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私募基金行业自律组织由深圳私募投资基金管理机构及基金服务相关机构自愿组成，其主要业务包括组织制定会员行为准则，协助业务主管单位指导和组织会员落实有关法规；依法维护会员的合法权益，反映会员建议和要求；收集、整理、发布行业和市场有关信息；组织从业人员开展持续教育和业务培训；对会员之间、会员与投资人之间发生的业务纠纷进行调解；表彰、奖励为行业规范发展和本团体工作做出特殊贡献的会员、从业人员及其他人员；制定和实施行业自律规则和业务规范，监督和检查会员及其从业人员的执业行为等。</w:t>
            </w:r>
          </w:p>
        </w:tc>
        <w:tc>
          <w:tcPr>
            <w:tcW w:w="951" w:type="dxa"/>
            <w:gridSpan w:val="2"/>
            <w:tcBorders>
              <w:top w:val="single" w:color="auto" w:sz="4" w:space="0"/>
              <w:left w:val="nil"/>
              <w:bottom w:val="single" w:color="000000" w:sz="4" w:space="0"/>
              <w:right w:val="single" w:color="000000" w:sz="4" w:space="0"/>
            </w:tcBorders>
            <w:noWrap w:val="0"/>
            <w:vAlign w:val="center"/>
          </w:tcPr>
          <w:p>
            <w:pPr>
              <w:widowControl/>
              <w:spacing w:line="252" w:lineRule="exact"/>
              <w:ind w:left="-63" w:leftChars="-30" w:right="-63" w:rightChars="-30"/>
              <w:rPr>
                <w:rFonts w:ascii="宋体" w:hAnsi="宋体" w:cs="仿宋_GB2312"/>
                <w:kern w:val="21"/>
                <w:szCs w:val="21"/>
              </w:rPr>
            </w:pPr>
            <w:r>
              <w:rPr>
                <w:rFonts w:hint="eastAsia" w:ascii="宋体" w:hAnsi="宋体" w:cs="仿宋_GB2312"/>
                <w:kern w:val="21"/>
                <w:szCs w:val="21"/>
              </w:rPr>
              <w:t>深圳证监局</w:t>
            </w:r>
          </w:p>
        </w:tc>
        <w:tc>
          <w:tcPr>
            <w:tcW w:w="983" w:type="dxa"/>
            <w:gridSpan w:val="2"/>
            <w:tcBorders>
              <w:top w:val="single" w:color="auto" w:sz="4" w:space="0"/>
              <w:left w:val="nil"/>
              <w:bottom w:val="single" w:color="000000" w:sz="4" w:space="0"/>
              <w:right w:val="single" w:color="000000" w:sz="4" w:space="0"/>
            </w:tcBorders>
            <w:noWrap w:val="0"/>
            <w:vAlign w:val="center"/>
          </w:tcPr>
          <w:p>
            <w:pPr>
              <w:widowControl/>
              <w:spacing w:line="260" w:lineRule="exact"/>
              <w:ind w:left="-63" w:leftChars="-30" w:right="-63" w:rightChars="-30"/>
              <w:jc w:val="center"/>
              <w:rPr>
                <w:rFonts w:ascii="宋体" w:hAnsi="宋体" w:cs="仿宋_GB2312"/>
                <w:kern w:val="0"/>
                <w:szCs w:val="21"/>
              </w:rPr>
            </w:pPr>
            <w:r>
              <w:rPr>
                <w:rFonts w:hint="eastAsia" w:ascii="宋体" w:hAnsi="宋体" w:cs="仿宋_GB2312"/>
                <w:kern w:val="0"/>
                <w:szCs w:val="21"/>
              </w:rPr>
              <w:t>全市</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D1023"/>
    <w:rsid w:val="684D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2021-08-31T09:28:00Z</dcterms:created>
  <dc:creator>微凉</dc:creator>
  <cp:lastModifiedBy>微凉</cp:lastModifiedBy>
  <dcterms:modified xsi:type="dcterms:W3CDTF">2021-08-31T09:29:45Z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