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10" w:lineRule="exact"/>
        <w:jc w:val="left"/>
        <w:rPr>
          <w:rFonts w:ascii="方正小标宋_GBK" w:hAnsi="方正小标宋_GBK" w:eastAsia="方正小标宋_GBK" w:cs="方正小标宋_GBK"/>
          <w:sz w:val="44"/>
          <w:szCs w:val="44"/>
        </w:rPr>
      </w:pPr>
      <w:r>
        <w:rPr>
          <w:rFonts w:hint="eastAsia" w:ascii="黑体" w:hAnsi="黑体" w:eastAsia="黑体" w:cs="黑体"/>
          <w:szCs w:val="32"/>
        </w:rPr>
        <w:t>附件</w:t>
      </w:r>
    </w:p>
    <w:p>
      <w:pPr>
        <w:adjustRightInd w:val="0"/>
        <w:snapToGrid w:val="0"/>
        <w:spacing w:line="51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中国（广东）自由贸易试验区深圳前海</w:t>
      </w:r>
    </w:p>
    <w:p>
      <w:pPr>
        <w:adjustRightInd w:val="0"/>
        <w:snapToGrid w:val="0"/>
        <w:spacing w:line="51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蛇口片区第六批改革创新经验</w:t>
      </w:r>
    </w:p>
    <w:p>
      <w:pPr>
        <w:adjustRightInd w:val="0"/>
        <w:snapToGrid w:val="0"/>
        <w:spacing w:line="51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复制推广工作任务分工表</w:t>
      </w:r>
    </w:p>
    <w:tbl>
      <w:tblPr>
        <w:tblStyle w:val="2"/>
        <w:tblW w:w="9478" w:type="dxa"/>
        <w:jc w:val="center"/>
        <w:tblLayout w:type="fixed"/>
        <w:tblCellMar>
          <w:top w:w="0" w:type="dxa"/>
          <w:left w:w="108" w:type="dxa"/>
          <w:bottom w:w="0" w:type="dxa"/>
          <w:right w:w="108" w:type="dxa"/>
        </w:tblCellMar>
      </w:tblPr>
      <w:tblGrid>
        <w:gridCol w:w="456"/>
        <w:gridCol w:w="1240"/>
        <w:gridCol w:w="5954"/>
        <w:gridCol w:w="979"/>
        <w:gridCol w:w="849"/>
      </w:tblGrid>
      <w:tr>
        <w:tblPrEx>
          <w:tblCellMar>
            <w:top w:w="0" w:type="dxa"/>
            <w:left w:w="108" w:type="dxa"/>
            <w:bottom w:w="0" w:type="dxa"/>
            <w:right w:w="108" w:type="dxa"/>
          </w:tblCellMar>
        </w:tblPrEx>
        <w:trPr>
          <w:trHeight w:val="320" w:hRule="atLeast"/>
          <w:tblHeader/>
          <w:jc w:val="center"/>
        </w:trPr>
        <w:tc>
          <w:tcPr>
            <w:tcW w:w="45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ascii="仿宋_GB2312" w:hAnsi="仿宋_GB2312" w:cs="仿宋_GB2312"/>
                <w:b/>
                <w:bCs/>
                <w:kern w:val="0"/>
                <w:sz w:val="28"/>
                <w:szCs w:val="28"/>
              </w:rPr>
            </w:pPr>
            <w:r>
              <w:rPr>
                <w:rFonts w:hint="eastAsia" w:ascii="仿宋_GB2312" w:hAnsi="仿宋_GB2312" w:cs="仿宋_GB2312"/>
                <w:b/>
                <w:bCs/>
                <w:kern w:val="0"/>
                <w:sz w:val="28"/>
                <w:szCs w:val="28"/>
              </w:rPr>
              <w:t>序号</w:t>
            </w:r>
          </w:p>
        </w:tc>
        <w:tc>
          <w:tcPr>
            <w:tcW w:w="124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ascii="仿宋_GB2312" w:hAnsi="仿宋_GB2312" w:cs="仿宋_GB2312"/>
                <w:b/>
                <w:bCs/>
                <w:kern w:val="0"/>
                <w:sz w:val="28"/>
                <w:szCs w:val="28"/>
              </w:rPr>
            </w:pPr>
            <w:r>
              <w:rPr>
                <w:rFonts w:hint="eastAsia" w:ascii="仿宋_GB2312" w:hAnsi="仿宋_GB2312" w:cs="仿宋_GB2312"/>
                <w:b/>
                <w:bCs/>
                <w:kern w:val="0"/>
                <w:sz w:val="28"/>
                <w:szCs w:val="28"/>
              </w:rPr>
              <w:t>试点</w:t>
            </w:r>
          </w:p>
          <w:p>
            <w:pPr>
              <w:widowControl/>
              <w:spacing w:line="360" w:lineRule="exact"/>
              <w:jc w:val="center"/>
              <w:rPr>
                <w:rFonts w:ascii="仿宋_GB2312" w:hAnsi="仿宋_GB2312" w:cs="仿宋_GB2312"/>
                <w:b/>
                <w:bCs/>
                <w:kern w:val="0"/>
                <w:sz w:val="28"/>
                <w:szCs w:val="28"/>
              </w:rPr>
            </w:pPr>
            <w:r>
              <w:rPr>
                <w:rFonts w:hint="eastAsia" w:ascii="仿宋_GB2312" w:hAnsi="仿宋_GB2312" w:cs="仿宋_GB2312"/>
                <w:b/>
                <w:bCs/>
                <w:kern w:val="0"/>
                <w:sz w:val="28"/>
                <w:szCs w:val="28"/>
              </w:rPr>
              <w:t>任务</w:t>
            </w:r>
          </w:p>
        </w:tc>
        <w:tc>
          <w:tcPr>
            <w:tcW w:w="595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ascii="仿宋_GB2312" w:hAnsi="仿宋_GB2312" w:cs="仿宋_GB2312"/>
                <w:b/>
                <w:bCs/>
                <w:kern w:val="0"/>
                <w:sz w:val="28"/>
                <w:szCs w:val="28"/>
              </w:rPr>
            </w:pPr>
            <w:r>
              <w:rPr>
                <w:rFonts w:hint="eastAsia" w:ascii="仿宋_GB2312" w:hAnsi="仿宋_GB2312" w:cs="仿宋_GB2312"/>
                <w:b/>
                <w:bCs/>
                <w:kern w:val="0"/>
                <w:sz w:val="28"/>
                <w:szCs w:val="28"/>
              </w:rPr>
              <w:t>实施内容</w:t>
            </w:r>
          </w:p>
        </w:tc>
        <w:tc>
          <w:tcPr>
            <w:tcW w:w="979"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ascii="仿宋_GB2312" w:hAnsi="仿宋_GB2312" w:cs="仿宋_GB2312"/>
                <w:b/>
                <w:bCs/>
                <w:kern w:val="0"/>
                <w:sz w:val="28"/>
                <w:szCs w:val="28"/>
              </w:rPr>
            </w:pPr>
            <w:r>
              <w:rPr>
                <w:rFonts w:hint="eastAsia" w:ascii="仿宋_GB2312" w:hAnsi="仿宋_GB2312" w:cs="仿宋_GB2312"/>
                <w:b/>
                <w:bCs/>
                <w:kern w:val="0"/>
                <w:sz w:val="28"/>
                <w:szCs w:val="28"/>
              </w:rPr>
              <w:t>牵头</w:t>
            </w:r>
          </w:p>
          <w:p>
            <w:pPr>
              <w:widowControl/>
              <w:spacing w:line="360" w:lineRule="exact"/>
              <w:jc w:val="center"/>
              <w:rPr>
                <w:rFonts w:ascii="仿宋_GB2312" w:hAnsi="仿宋_GB2312" w:cs="仿宋_GB2312"/>
                <w:b/>
                <w:bCs/>
                <w:kern w:val="0"/>
                <w:sz w:val="28"/>
                <w:szCs w:val="28"/>
              </w:rPr>
            </w:pPr>
            <w:r>
              <w:rPr>
                <w:rFonts w:hint="eastAsia" w:ascii="仿宋_GB2312" w:hAnsi="仿宋_GB2312" w:cs="仿宋_GB2312"/>
                <w:b/>
                <w:bCs/>
                <w:kern w:val="0"/>
                <w:sz w:val="28"/>
                <w:szCs w:val="28"/>
              </w:rPr>
              <w:t>单位</w:t>
            </w:r>
          </w:p>
        </w:tc>
        <w:tc>
          <w:tcPr>
            <w:tcW w:w="849"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rFonts w:ascii="仿宋_GB2312" w:hAnsi="仿宋_GB2312" w:cs="仿宋_GB2312"/>
                <w:b/>
                <w:bCs/>
                <w:kern w:val="0"/>
                <w:sz w:val="28"/>
                <w:szCs w:val="28"/>
              </w:rPr>
            </w:pPr>
            <w:r>
              <w:rPr>
                <w:rFonts w:hint="eastAsia" w:ascii="仿宋_GB2312" w:hAnsi="仿宋_GB2312" w:cs="仿宋_GB2312"/>
                <w:b/>
                <w:bCs/>
                <w:kern w:val="0"/>
                <w:sz w:val="28"/>
                <w:szCs w:val="28"/>
              </w:rPr>
              <w:t>推广</w:t>
            </w:r>
          </w:p>
          <w:p>
            <w:pPr>
              <w:widowControl/>
              <w:spacing w:line="360" w:lineRule="exact"/>
              <w:jc w:val="center"/>
              <w:rPr>
                <w:rFonts w:ascii="仿宋_GB2312" w:hAnsi="仿宋_GB2312" w:cs="仿宋_GB2312"/>
                <w:b/>
                <w:bCs/>
                <w:kern w:val="0"/>
                <w:sz w:val="28"/>
                <w:szCs w:val="28"/>
              </w:rPr>
            </w:pPr>
            <w:r>
              <w:rPr>
                <w:rFonts w:hint="eastAsia" w:ascii="仿宋_GB2312" w:hAnsi="仿宋_GB2312" w:cs="仿宋_GB2312"/>
                <w:b/>
                <w:bCs/>
                <w:kern w:val="0"/>
                <w:sz w:val="28"/>
                <w:szCs w:val="28"/>
              </w:rPr>
              <w:t>范围</w:t>
            </w:r>
          </w:p>
        </w:tc>
      </w:tr>
      <w:tr>
        <w:tblPrEx>
          <w:tblCellMar>
            <w:top w:w="0" w:type="dxa"/>
            <w:left w:w="108" w:type="dxa"/>
            <w:bottom w:w="0" w:type="dxa"/>
            <w:right w:w="108" w:type="dxa"/>
          </w:tblCellMar>
        </w:tblPrEx>
        <w:trPr>
          <w:trHeight w:val="320" w:hRule="atLeast"/>
          <w:jc w:val="center"/>
        </w:trPr>
        <w:tc>
          <w:tcPr>
            <w:tcW w:w="9478" w:type="dxa"/>
            <w:gridSpan w:val="5"/>
            <w:tcBorders>
              <w:top w:val="single" w:color="auto" w:sz="4" w:space="0"/>
              <w:left w:val="single" w:color="000000" w:sz="4" w:space="0"/>
              <w:bottom w:val="single" w:color="000000" w:sz="4" w:space="0"/>
              <w:right w:val="single" w:color="000000" w:sz="4" w:space="0"/>
            </w:tcBorders>
            <w:noWrap/>
            <w:vAlign w:val="center"/>
          </w:tcPr>
          <w:p>
            <w:pPr>
              <w:widowControl/>
              <w:spacing w:line="360" w:lineRule="exact"/>
              <w:jc w:val="left"/>
              <w:rPr>
                <w:rFonts w:ascii="仿宋_GB2312" w:hAnsi="仿宋_GB2312" w:cs="仿宋_GB2312"/>
                <w:kern w:val="0"/>
                <w:sz w:val="24"/>
                <w:szCs w:val="24"/>
              </w:rPr>
            </w:pPr>
            <w:r>
              <w:rPr>
                <w:rFonts w:hint="eastAsia" w:ascii="仿宋_GB2312" w:hAnsi="仿宋_GB2312" w:cs="仿宋_GB2312"/>
                <w:kern w:val="0"/>
                <w:sz w:val="24"/>
                <w:szCs w:val="24"/>
              </w:rPr>
              <w:t>一、投资便利化（8项）</w:t>
            </w:r>
          </w:p>
        </w:tc>
      </w:tr>
      <w:tr>
        <w:tblPrEx>
          <w:tblCellMar>
            <w:top w:w="0" w:type="dxa"/>
            <w:left w:w="108" w:type="dxa"/>
            <w:bottom w:w="0" w:type="dxa"/>
            <w:right w:w="108" w:type="dxa"/>
          </w:tblCellMar>
        </w:tblPrEx>
        <w:trPr>
          <w:trHeight w:val="283" w:hRule="atLeast"/>
          <w:jc w:val="center"/>
        </w:trPr>
        <w:tc>
          <w:tcPr>
            <w:tcW w:w="456" w:type="dxa"/>
            <w:tcBorders>
              <w:top w:val="nil"/>
              <w:left w:val="single" w:color="000000" w:sz="4" w:space="0"/>
              <w:bottom w:val="single" w:color="000000" w:sz="4" w:space="0"/>
              <w:right w:val="single" w:color="000000" w:sz="4" w:space="0"/>
            </w:tcBorders>
            <w:noWrap/>
            <w:vAlign w:val="center"/>
          </w:tcPr>
          <w:p>
            <w:pPr>
              <w:widowControl/>
              <w:spacing w:line="330" w:lineRule="exact"/>
              <w:jc w:val="center"/>
              <w:rPr>
                <w:rFonts w:ascii="仿宋_GB2312" w:hAnsi="仿宋_GB2312" w:cs="仿宋_GB2312"/>
                <w:kern w:val="0"/>
                <w:sz w:val="24"/>
                <w:szCs w:val="24"/>
              </w:rPr>
            </w:pPr>
            <w:r>
              <w:rPr>
                <w:rFonts w:hint="eastAsia" w:ascii="仿宋_GB2312" w:hAnsi="仿宋_GB2312" w:cs="仿宋_GB2312"/>
                <w:kern w:val="0"/>
                <w:sz w:val="24"/>
                <w:szCs w:val="24"/>
              </w:rPr>
              <w:t>1</w:t>
            </w:r>
          </w:p>
        </w:tc>
        <w:tc>
          <w:tcPr>
            <w:tcW w:w="1240" w:type="dxa"/>
            <w:tcBorders>
              <w:top w:val="nil"/>
              <w:left w:val="nil"/>
              <w:bottom w:val="single" w:color="000000" w:sz="4" w:space="0"/>
              <w:right w:val="single" w:color="000000" w:sz="4" w:space="0"/>
            </w:tcBorders>
            <w:vAlign w:val="center"/>
          </w:tcPr>
          <w:p>
            <w:pPr>
              <w:widowControl/>
              <w:spacing w:line="330" w:lineRule="exact"/>
              <w:rPr>
                <w:rFonts w:ascii="仿宋_GB2312" w:hAnsi="仿宋_GB2312" w:cs="仿宋_GB2312"/>
                <w:kern w:val="0"/>
                <w:sz w:val="24"/>
                <w:szCs w:val="24"/>
              </w:rPr>
            </w:pPr>
            <w:r>
              <w:rPr>
                <w:rFonts w:hint="eastAsia" w:ascii="仿宋_GB2312" w:hAnsi="仿宋_GB2312" w:cs="仿宋_GB2312"/>
                <w:kern w:val="0"/>
                <w:sz w:val="24"/>
                <w:szCs w:val="24"/>
              </w:rPr>
              <w:t>覆盖科创智慧园区全生命周期的智慧平台</w:t>
            </w:r>
          </w:p>
        </w:tc>
        <w:tc>
          <w:tcPr>
            <w:tcW w:w="5954" w:type="dxa"/>
            <w:tcBorders>
              <w:top w:val="nil"/>
              <w:left w:val="nil"/>
              <w:bottom w:val="single" w:color="000000" w:sz="4" w:space="0"/>
              <w:right w:val="single" w:color="000000" w:sz="4" w:space="0"/>
            </w:tcBorders>
            <w:vAlign w:val="center"/>
          </w:tcPr>
          <w:p>
            <w:pPr>
              <w:widowControl/>
              <w:spacing w:line="330" w:lineRule="exact"/>
              <w:rPr>
                <w:rFonts w:ascii="仿宋_GB2312" w:hAnsi="仿宋_GB2312" w:cs="仿宋_GB2312"/>
                <w:kern w:val="0"/>
                <w:sz w:val="24"/>
                <w:szCs w:val="24"/>
              </w:rPr>
            </w:pPr>
            <w:r>
              <w:rPr>
                <w:rFonts w:hint="eastAsia" w:ascii="仿宋_GB2312" w:hAnsi="仿宋_GB2312" w:cs="仿宋_GB2312"/>
                <w:kern w:val="0"/>
                <w:sz w:val="24"/>
                <w:szCs w:val="24"/>
              </w:rPr>
              <w:t>智慧平台提供包含人才服务、智慧停车、云直播、住所托管、严选市场、投资平台、政策评测、创业平台等十余项特色服务，为创业期的入驻企业提供全方位增值服务。专项投资平台将产业政策、空间等信息转化为标准化数据，精准推送潜力项目，形成全周期监测闭环。政策测评服务平台通过产业政策匹配信息处理方法，为企业及人才提供快速而全面的产业政策智慧匹配和推送服务，为创业青年及中小微企业打造创新创业全过程的服务体系。</w:t>
            </w:r>
          </w:p>
        </w:tc>
        <w:tc>
          <w:tcPr>
            <w:tcW w:w="979" w:type="dxa"/>
            <w:tcBorders>
              <w:top w:val="nil"/>
              <w:left w:val="nil"/>
              <w:bottom w:val="single" w:color="000000" w:sz="4" w:space="0"/>
              <w:right w:val="single" w:color="000000" w:sz="4" w:space="0"/>
            </w:tcBorders>
            <w:vAlign w:val="center"/>
          </w:tcPr>
          <w:p>
            <w:pPr>
              <w:widowControl/>
              <w:spacing w:line="330" w:lineRule="exact"/>
              <w:jc w:val="center"/>
              <w:rPr>
                <w:rFonts w:ascii="仿宋_GB2312" w:hAnsi="仿宋_GB2312" w:cs="仿宋_GB2312"/>
                <w:kern w:val="0"/>
                <w:sz w:val="24"/>
                <w:szCs w:val="24"/>
              </w:rPr>
            </w:pPr>
            <w:r>
              <w:rPr>
                <w:rFonts w:hint="eastAsia" w:ascii="仿宋_GB2312" w:hAnsi="仿宋_GB2312" w:cs="仿宋_GB2312"/>
                <w:kern w:val="0"/>
                <w:sz w:val="24"/>
                <w:szCs w:val="24"/>
              </w:rPr>
              <w:t>各企业</w:t>
            </w:r>
          </w:p>
        </w:tc>
        <w:tc>
          <w:tcPr>
            <w:tcW w:w="849" w:type="dxa"/>
            <w:tcBorders>
              <w:top w:val="nil"/>
              <w:left w:val="nil"/>
              <w:bottom w:val="single" w:color="000000" w:sz="4" w:space="0"/>
              <w:right w:val="single" w:color="000000" w:sz="4" w:space="0"/>
            </w:tcBorders>
            <w:vAlign w:val="center"/>
          </w:tcPr>
          <w:p>
            <w:pPr>
              <w:widowControl/>
              <w:spacing w:line="330" w:lineRule="exact"/>
              <w:rPr>
                <w:rFonts w:ascii="仿宋_GB2312" w:hAnsi="仿宋_GB2312" w:cs="仿宋_GB2312"/>
                <w:kern w:val="0"/>
                <w:sz w:val="24"/>
                <w:szCs w:val="24"/>
              </w:rPr>
            </w:pPr>
            <w:r>
              <w:rPr>
                <w:rFonts w:hint="eastAsia" w:ascii="仿宋_GB2312" w:hAnsi="仿宋_GB2312" w:cs="仿宋_GB2312"/>
                <w:kern w:val="0"/>
                <w:sz w:val="24"/>
                <w:szCs w:val="24"/>
              </w:rPr>
              <w:t>全市</w:t>
            </w:r>
          </w:p>
        </w:tc>
      </w:tr>
      <w:tr>
        <w:tblPrEx>
          <w:tblCellMar>
            <w:top w:w="0" w:type="dxa"/>
            <w:left w:w="108" w:type="dxa"/>
            <w:bottom w:w="0" w:type="dxa"/>
            <w:right w:w="108" w:type="dxa"/>
          </w:tblCellMar>
        </w:tblPrEx>
        <w:trPr>
          <w:trHeight w:val="283" w:hRule="atLeast"/>
          <w:jc w:val="center"/>
        </w:trPr>
        <w:tc>
          <w:tcPr>
            <w:tcW w:w="456" w:type="dxa"/>
            <w:tcBorders>
              <w:top w:val="nil"/>
              <w:left w:val="single" w:color="000000" w:sz="4" w:space="0"/>
              <w:bottom w:val="single" w:color="auto" w:sz="4" w:space="0"/>
              <w:right w:val="single" w:color="000000" w:sz="4" w:space="0"/>
            </w:tcBorders>
            <w:noWrap/>
            <w:vAlign w:val="center"/>
          </w:tcPr>
          <w:p>
            <w:pPr>
              <w:widowControl/>
              <w:spacing w:line="330" w:lineRule="exact"/>
              <w:jc w:val="center"/>
              <w:rPr>
                <w:rFonts w:ascii="仿宋_GB2312" w:hAnsi="仿宋_GB2312" w:cs="仿宋_GB2312"/>
                <w:kern w:val="0"/>
                <w:sz w:val="24"/>
                <w:szCs w:val="24"/>
              </w:rPr>
            </w:pPr>
            <w:r>
              <w:rPr>
                <w:rFonts w:hint="eastAsia" w:ascii="仿宋_GB2312" w:hAnsi="仿宋_GB2312" w:cs="仿宋_GB2312"/>
                <w:kern w:val="0"/>
                <w:sz w:val="24"/>
                <w:szCs w:val="24"/>
              </w:rPr>
              <w:t>2</w:t>
            </w:r>
          </w:p>
        </w:tc>
        <w:tc>
          <w:tcPr>
            <w:tcW w:w="1240" w:type="dxa"/>
            <w:tcBorders>
              <w:top w:val="nil"/>
              <w:left w:val="nil"/>
              <w:bottom w:val="single" w:color="auto" w:sz="4" w:space="0"/>
              <w:right w:val="single" w:color="000000" w:sz="4" w:space="0"/>
            </w:tcBorders>
            <w:vAlign w:val="center"/>
          </w:tcPr>
          <w:p>
            <w:pPr>
              <w:widowControl/>
              <w:spacing w:line="330" w:lineRule="exact"/>
              <w:rPr>
                <w:rFonts w:ascii="仿宋_GB2312" w:hAnsi="仿宋_GB2312" w:cs="仿宋_GB2312"/>
                <w:kern w:val="0"/>
                <w:sz w:val="24"/>
                <w:szCs w:val="24"/>
              </w:rPr>
            </w:pPr>
            <w:r>
              <w:rPr>
                <w:rFonts w:hint="eastAsia" w:ascii="仿宋_GB2312" w:hAnsi="仿宋_GB2312" w:cs="仿宋_GB2312"/>
                <w:kern w:val="0"/>
                <w:sz w:val="24"/>
                <w:szCs w:val="24"/>
              </w:rPr>
              <w:t>电子营业执照“一照通”应用拓展</w:t>
            </w:r>
          </w:p>
        </w:tc>
        <w:tc>
          <w:tcPr>
            <w:tcW w:w="5954" w:type="dxa"/>
            <w:tcBorders>
              <w:top w:val="nil"/>
              <w:left w:val="nil"/>
              <w:bottom w:val="single" w:color="auto" w:sz="4" w:space="0"/>
              <w:right w:val="single" w:color="000000" w:sz="4" w:space="0"/>
            </w:tcBorders>
            <w:vAlign w:val="center"/>
          </w:tcPr>
          <w:p>
            <w:pPr>
              <w:widowControl/>
              <w:spacing w:line="330" w:lineRule="exact"/>
              <w:rPr>
                <w:rFonts w:ascii="仿宋_GB2312" w:hAnsi="仿宋_GB2312" w:cs="仿宋_GB2312"/>
                <w:kern w:val="0"/>
                <w:sz w:val="24"/>
                <w:szCs w:val="24"/>
              </w:rPr>
            </w:pPr>
            <w:r>
              <w:rPr>
                <w:rFonts w:hint="eastAsia" w:ascii="仿宋_GB2312" w:hAnsi="仿宋_GB2312" w:cs="仿宋_GB2312"/>
                <w:kern w:val="0"/>
                <w:sz w:val="24"/>
                <w:szCs w:val="24"/>
              </w:rPr>
              <w:t>企业办事人员携带电子营业执照到银行办理业务，银行向企业出示与市商事登记系统衔接的政银二维码，验证企业身份真实性。银行识别企业电子营业执照信息后，可下载及打印电子营业执照，系统也将自动留档电子营业执照并与账户绑定。银行前台通过调用企业电子营业执照，连同需上传的影像资料一并提交后台审核通过后，将电子营业执照随账户开户资料一同保管，实现电子营业执照和电子印章同步发放。全市商事主体在完成商事登记的同时，系统自动生成电子营业执照和电子印章（一套四枚，包括法定名称章、财务专用章、合同专用章、负责人章），商事主体可免费领取使用。</w:t>
            </w:r>
          </w:p>
        </w:tc>
        <w:tc>
          <w:tcPr>
            <w:tcW w:w="979" w:type="dxa"/>
            <w:tcBorders>
              <w:top w:val="nil"/>
              <w:left w:val="nil"/>
              <w:bottom w:val="single" w:color="auto" w:sz="4" w:space="0"/>
              <w:right w:val="single" w:color="000000" w:sz="4" w:space="0"/>
            </w:tcBorders>
            <w:vAlign w:val="center"/>
          </w:tcPr>
          <w:p>
            <w:pPr>
              <w:widowControl/>
              <w:spacing w:line="330" w:lineRule="exact"/>
              <w:jc w:val="center"/>
              <w:rPr>
                <w:rFonts w:ascii="仿宋_GB2312" w:hAnsi="仿宋_GB2312" w:cs="仿宋_GB2312"/>
                <w:kern w:val="0"/>
                <w:sz w:val="24"/>
                <w:szCs w:val="24"/>
              </w:rPr>
            </w:pPr>
            <w:r>
              <w:rPr>
                <w:rFonts w:hint="eastAsia" w:ascii="仿宋_GB2312" w:hAnsi="仿宋_GB2312" w:cs="仿宋_GB2312"/>
                <w:kern w:val="0"/>
                <w:sz w:val="24"/>
                <w:szCs w:val="24"/>
              </w:rPr>
              <w:t>市市场监管局</w:t>
            </w:r>
          </w:p>
        </w:tc>
        <w:tc>
          <w:tcPr>
            <w:tcW w:w="849" w:type="dxa"/>
            <w:tcBorders>
              <w:top w:val="nil"/>
              <w:left w:val="nil"/>
              <w:bottom w:val="single" w:color="auto" w:sz="4" w:space="0"/>
              <w:right w:val="single" w:color="000000" w:sz="4" w:space="0"/>
            </w:tcBorders>
            <w:vAlign w:val="center"/>
          </w:tcPr>
          <w:p>
            <w:pPr>
              <w:widowControl/>
              <w:spacing w:line="330" w:lineRule="exact"/>
              <w:rPr>
                <w:rFonts w:ascii="仿宋_GB2312" w:hAnsi="仿宋_GB2312" w:cs="仿宋_GB2312"/>
                <w:kern w:val="0"/>
                <w:sz w:val="24"/>
                <w:szCs w:val="24"/>
              </w:rPr>
            </w:pPr>
            <w:r>
              <w:rPr>
                <w:rFonts w:hint="eastAsia" w:ascii="仿宋_GB2312" w:hAnsi="仿宋_GB2312" w:cs="仿宋_GB2312"/>
                <w:kern w:val="0"/>
                <w:sz w:val="24"/>
                <w:szCs w:val="24"/>
              </w:rPr>
              <w:t>全市</w:t>
            </w:r>
          </w:p>
        </w:tc>
      </w:tr>
      <w:tr>
        <w:tblPrEx>
          <w:tblCellMar>
            <w:top w:w="0" w:type="dxa"/>
            <w:left w:w="108" w:type="dxa"/>
            <w:bottom w:w="0" w:type="dxa"/>
            <w:right w:w="108" w:type="dxa"/>
          </w:tblCellMar>
        </w:tblPrEx>
        <w:trPr>
          <w:trHeight w:val="283" w:hRule="atLeast"/>
          <w:jc w:val="center"/>
        </w:trPr>
        <w:tc>
          <w:tcPr>
            <w:tcW w:w="456" w:type="dxa"/>
            <w:tcBorders>
              <w:top w:val="single" w:color="auto" w:sz="4" w:space="0"/>
              <w:left w:val="single" w:color="auto" w:sz="4" w:space="0"/>
              <w:bottom w:val="single" w:color="auto" w:sz="4" w:space="0"/>
              <w:right w:val="single" w:color="000000" w:sz="4" w:space="0"/>
            </w:tcBorders>
            <w:noWrap/>
            <w:vAlign w:val="center"/>
          </w:tcPr>
          <w:p>
            <w:pPr>
              <w:widowControl/>
              <w:spacing w:line="330" w:lineRule="exact"/>
              <w:jc w:val="center"/>
              <w:rPr>
                <w:rFonts w:ascii="仿宋_GB2312" w:hAnsi="仿宋_GB2312" w:cs="仿宋_GB2312"/>
                <w:kern w:val="0"/>
                <w:sz w:val="24"/>
                <w:szCs w:val="24"/>
              </w:rPr>
            </w:pPr>
            <w:r>
              <w:rPr>
                <w:rFonts w:hint="eastAsia" w:ascii="仿宋_GB2312" w:hAnsi="仿宋_GB2312" w:cs="仿宋_GB2312"/>
                <w:kern w:val="0"/>
                <w:sz w:val="24"/>
                <w:szCs w:val="24"/>
              </w:rPr>
              <w:t>3</w:t>
            </w:r>
          </w:p>
        </w:tc>
        <w:tc>
          <w:tcPr>
            <w:tcW w:w="1240" w:type="dxa"/>
            <w:tcBorders>
              <w:top w:val="single" w:color="auto" w:sz="4" w:space="0"/>
              <w:left w:val="nil"/>
              <w:bottom w:val="single" w:color="auto" w:sz="4" w:space="0"/>
              <w:right w:val="single" w:color="000000" w:sz="4" w:space="0"/>
            </w:tcBorders>
            <w:vAlign w:val="center"/>
          </w:tcPr>
          <w:p>
            <w:pPr>
              <w:widowControl/>
              <w:spacing w:line="330" w:lineRule="exact"/>
              <w:rPr>
                <w:rFonts w:ascii="仿宋_GB2312" w:hAnsi="仿宋_GB2312" w:cs="仿宋_GB2312"/>
                <w:kern w:val="0"/>
                <w:sz w:val="24"/>
                <w:szCs w:val="24"/>
              </w:rPr>
            </w:pPr>
            <w:r>
              <w:rPr>
                <w:rFonts w:hint="eastAsia" w:ascii="仿宋_GB2312" w:hAnsi="仿宋_GB2312" w:cs="仿宋_GB2312"/>
                <w:kern w:val="0"/>
                <w:sz w:val="24"/>
                <w:szCs w:val="24"/>
              </w:rPr>
              <w:t>跨区域税收事项全流程通办</w:t>
            </w:r>
          </w:p>
        </w:tc>
        <w:tc>
          <w:tcPr>
            <w:tcW w:w="5954" w:type="dxa"/>
            <w:tcBorders>
              <w:top w:val="single" w:color="auto" w:sz="4" w:space="0"/>
              <w:left w:val="nil"/>
              <w:bottom w:val="single" w:color="auto" w:sz="4" w:space="0"/>
              <w:right w:val="single" w:color="000000" w:sz="4" w:space="0"/>
            </w:tcBorders>
            <w:vAlign w:val="center"/>
          </w:tcPr>
          <w:p>
            <w:pPr>
              <w:widowControl/>
              <w:spacing w:line="330" w:lineRule="exact"/>
              <w:rPr>
                <w:rFonts w:ascii="仿宋_GB2312" w:hAnsi="仿宋_GB2312" w:cs="仿宋_GB2312"/>
                <w:kern w:val="0"/>
                <w:sz w:val="24"/>
                <w:szCs w:val="24"/>
              </w:rPr>
            </w:pPr>
            <w:r>
              <w:rPr>
                <w:rFonts w:hint="eastAsia" w:ascii="仿宋_GB2312" w:hAnsi="仿宋_GB2312" w:cs="仿宋_GB2312"/>
                <w:kern w:val="0"/>
                <w:sz w:val="24"/>
                <w:szCs w:val="24"/>
              </w:rPr>
              <w:t>在跨区域涉税事项报告、增值税及其附加预缴申报、存款账户账号报告、网签三方协议等已有网上功能的基础上，为纳税人提供了跨区域涉税事项反馈、跨区域涉税事项延期、跨区域涉税事项报验、企业所得税预缴和个人所得税核定征收等功能，实现了跨区域涉税事项网上全流程办理，并将相关功能归集成套餐，按本地企业外出经营和异地企业来深经营两类套餐进行差异化管理，纳税人可方便快捷定位需要使用的功能。</w:t>
            </w:r>
          </w:p>
        </w:tc>
        <w:tc>
          <w:tcPr>
            <w:tcW w:w="979" w:type="dxa"/>
            <w:tcBorders>
              <w:top w:val="single" w:color="auto" w:sz="4" w:space="0"/>
              <w:left w:val="nil"/>
              <w:bottom w:val="single" w:color="auto" w:sz="4" w:space="0"/>
              <w:right w:val="single" w:color="000000" w:sz="4" w:space="0"/>
            </w:tcBorders>
            <w:vAlign w:val="center"/>
          </w:tcPr>
          <w:p>
            <w:pPr>
              <w:widowControl/>
              <w:spacing w:line="330" w:lineRule="exact"/>
              <w:jc w:val="center"/>
              <w:rPr>
                <w:rFonts w:ascii="仿宋_GB2312" w:hAnsi="仿宋_GB2312" w:cs="仿宋_GB2312"/>
                <w:kern w:val="0"/>
                <w:sz w:val="24"/>
                <w:szCs w:val="24"/>
              </w:rPr>
            </w:pPr>
            <w:r>
              <w:rPr>
                <w:rFonts w:hint="eastAsia" w:ascii="仿宋_GB2312" w:hAnsi="仿宋_GB2312" w:cs="仿宋_GB2312"/>
                <w:kern w:val="0"/>
                <w:sz w:val="24"/>
                <w:szCs w:val="24"/>
              </w:rPr>
              <w:t>深圳市税务局</w:t>
            </w:r>
          </w:p>
        </w:tc>
        <w:tc>
          <w:tcPr>
            <w:tcW w:w="849" w:type="dxa"/>
            <w:tcBorders>
              <w:top w:val="single" w:color="auto" w:sz="4" w:space="0"/>
              <w:left w:val="nil"/>
              <w:bottom w:val="single" w:color="auto" w:sz="4" w:space="0"/>
              <w:right w:val="single" w:color="auto" w:sz="4" w:space="0"/>
            </w:tcBorders>
            <w:vAlign w:val="center"/>
          </w:tcPr>
          <w:p>
            <w:pPr>
              <w:widowControl/>
              <w:spacing w:line="330" w:lineRule="exact"/>
              <w:rPr>
                <w:rFonts w:ascii="仿宋_GB2312" w:hAnsi="仿宋_GB2312" w:cs="仿宋_GB2312"/>
                <w:kern w:val="0"/>
                <w:sz w:val="24"/>
                <w:szCs w:val="24"/>
              </w:rPr>
            </w:pPr>
            <w:r>
              <w:rPr>
                <w:rFonts w:hint="eastAsia" w:ascii="仿宋_GB2312" w:hAnsi="仿宋_GB2312" w:cs="仿宋_GB2312"/>
                <w:kern w:val="0"/>
                <w:sz w:val="24"/>
                <w:szCs w:val="24"/>
              </w:rPr>
              <w:t>全市</w:t>
            </w:r>
          </w:p>
        </w:tc>
      </w:tr>
      <w:tr>
        <w:tblPrEx>
          <w:tblCellMar>
            <w:top w:w="0" w:type="dxa"/>
            <w:left w:w="108" w:type="dxa"/>
            <w:bottom w:w="0" w:type="dxa"/>
            <w:right w:w="108" w:type="dxa"/>
          </w:tblCellMar>
        </w:tblPrEx>
        <w:trPr>
          <w:trHeight w:val="2434" w:hRule="atLeast"/>
          <w:jc w:val="center"/>
        </w:trPr>
        <w:tc>
          <w:tcPr>
            <w:tcW w:w="456" w:type="dxa"/>
            <w:tcBorders>
              <w:top w:val="single" w:color="auto" w:sz="4" w:space="0"/>
              <w:left w:val="single" w:color="000000" w:sz="4" w:space="0"/>
              <w:bottom w:val="single" w:color="000000" w:sz="4" w:space="0"/>
              <w:right w:val="single" w:color="000000" w:sz="4" w:space="0"/>
            </w:tcBorders>
            <w:noWrap/>
            <w:vAlign w:val="center"/>
          </w:tcPr>
          <w:p>
            <w:pPr>
              <w:widowControl/>
              <w:spacing w:line="360" w:lineRule="exact"/>
              <w:jc w:val="center"/>
              <w:rPr>
                <w:rFonts w:ascii="仿宋_GB2312" w:hAnsi="仿宋_GB2312" w:cs="仿宋_GB2312"/>
                <w:kern w:val="0"/>
                <w:sz w:val="24"/>
                <w:szCs w:val="24"/>
              </w:rPr>
            </w:pPr>
            <w:r>
              <w:rPr>
                <w:rFonts w:hint="eastAsia" w:ascii="仿宋_GB2312" w:hAnsi="仿宋_GB2312" w:cs="仿宋_GB2312"/>
                <w:kern w:val="0"/>
                <w:sz w:val="24"/>
                <w:szCs w:val="24"/>
              </w:rPr>
              <w:t>4</w:t>
            </w:r>
          </w:p>
        </w:tc>
        <w:tc>
          <w:tcPr>
            <w:tcW w:w="1240" w:type="dxa"/>
            <w:tcBorders>
              <w:top w:val="single" w:color="auto" w:sz="4" w:space="0"/>
              <w:left w:val="nil"/>
              <w:bottom w:val="single" w:color="000000" w:sz="4" w:space="0"/>
              <w:right w:val="single" w:color="000000" w:sz="4" w:space="0"/>
            </w:tcBorders>
            <w:vAlign w:val="center"/>
          </w:tcPr>
          <w:p>
            <w:pPr>
              <w:widowControl/>
              <w:spacing w:line="360" w:lineRule="exact"/>
              <w:rPr>
                <w:rFonts w:ascii="仿宋_GB2312" w:hAnsi="仿宋_GB2312" w:cs="仿宋_GB2312"/>
                <w:kern w:val="0"/>
                <w:sz w:val="24"/>
                <w:szCs w:val="24"/>
              </w:rPr>
            </w:pPr>
            <w:r>
              <w:rPr>
                <w:rFonts w:hint="eastAsia" w:ascii="仿宋_GB2312" w:hAnsi="仿宋_GB2312" w:cs="仿宋_GB2312"/>
                <w:kern w:val="0"/>
                <w:sz w:val="24"/>
                <w:szCs w:val="24"/>
              </w:rPr>
              <w:t>新开办企业税务9环节“套餐”网上办</w:t>
            </w:r>
          </w:p>
        </w:tc>
        <w:tc>
          <w:tcPr>
            <w:tcW w:w="5954" w:type="dxa"/>
            <w:tcBorders>
              <w:top w:val="single" w:color="auto" w:sz="4" w:space="0"/>
              <w:left w:val="nil"/>
              <w:bottom w:val="single" w:color="000000" w:sz="4" w:space="0"/>
              <w:right w:val="single" w:color="000000" w:sz="4" w:space="0"/>
            </w:tcBorders>
            <w:vAlign w:val="center"/>
          </w:tcPr>
          <w:p>
            <w:pPr>
              <w:widowControl/>
              <w:spacing w:line="360" w:lineRule="exact"/>
              <w:rPr>
                <w:rFonts w:ascii="仿宋_GB2312" w:hAnsi="仿宋_GB2312" w:cs="仿宋_GB2312"/>
                <w:kern w:val="0"/>
                <w:sz w:val="24"/>
                <w:szCs w:val="24"/>
              </w:rPr>
            </w:pPr>
            <w:r>
              <w:rPr>
                <w:rFonts w:hint="eastAsia" w:ascii="仿宋_GB2312" w:hAnsi="仿宋_GB2312" w:cs="仿宋_GB2312"/>
                <w:kern w:val="0"/>
                <w:sz w:val="24"/>
                <w:szCs w:val="24"/>
              </w:rPr>
              <w:t>将原有8项涉税事项精简为增值税一般纳税人登记、发票票种核定、增值税专用发票最高开票限额行政许可、增值税税控系统专用设备申请、发票领用等5项。纳税人通过系统可申请增值税税控发票及税务免费Ukey，在符合监控情况下，相关文书审批由系统实现免审核及审批处理。受理成功后，纳税人可前往政务大厅领取或申请免费邮寄。</w:t>
            </w:r>
          </w:p>
        </w:tc>
        <w:tc>
          <w:tcPr>
            <w:tcW w:w="979" w:type="dxa"/>
            <w:tcBorders>
              <w:top w:val="single" w:color="auto" w:sz="4" w:space="0"/>
              <w:left w:val="nil"/>
              <w:bottom w:val="single" w:color="000000" w:sz="4" w:space="0"/>
              <w:right w:val="single" w:color="000000" w:sz="4" w:space="0"/>
            </w:tcBorders>
            <w:vAlign w:val="center"/>
          </w:tcPr>
          <w:p>
            <w:pPr>
              <w:widowControl/>
              <w:spacing w:line="360" w:lineRule="exact"/>
              <w:jc w:val="center"/>
              <w:rPr>
                <w:rFonts w:ascii="仿宋_GB2312" w:hAnsi="仿宋_GB2312" w:cs="仿宋_GB2312"/>
                <w:kern w:val="0"/>
                <w:sz w:val="24"/>
                <w:szCs w:val="24"/>
              </w:rPr>
            </w:pPr>
            <w:r>
              <w:rPr>
                <w:rFonts w:hint="eastAsia" w:ascii="仿宋_GB2312" w:hAnsi="仿宋_GB2312" w:cs="仿宋_GB2312"/>
                <w:kern w:val="0"/>
                <w:sz w:val="24"/>
                <w:szCs w:val="24"/>
              </w:rPr>
              <w:t>深圳市税务局</w:t>
            </w:r>
          </w:p>
        </w:tc>
        <w:tc>
          <w:tcPr>
            <w:tcW w:w="849" w:type="dxa"/>
            <w:tcBorders>
              <w:top w:val="single" w:color="auto" w:sz="4" w:space="0"/>
              <w:left w:val="nil"/>
              <w:bottom w:val="single" w:color="000000" w:sz="4" w:space="0"/>
              <w:right w:val="single" w:color="000000" w:sz="4" w:space="0"/>
            </w:tcBorders>
            <w:vAlign w:val="center"/>
          </w:tcPr>
          <w:p>
            <w:pPr>
              <w:widowControl/>
              <w:spacing w:line="360" w:lineRule="exact"/>
              <w:rPr>
                <w:rFonts w:ascii="仿宋_GB2312" w:hAnsi="仿宋_GB2312" w:cs="仿宋_GB2312"/>
                <w:kern w:val="0"/>
                <w:sz w:val="24"/>
                <w:szCs w:val="24"/>
              </w:rPr>
            </w:pPr>
            <w:r>
              <w:rPr>
                <w:rFonts w:hint="eastAsia" w:ascii="仿宋_GB2312" w:hAnsi="仿宋_GB2312" w:cs="仿宋_GB2312"/>
                <w:kern w:val="0"/>
                <w:sz w:val="24"/>
                <w:szCs w:val="24"/>
              </w:rPr>
              <w:t>全市</w:t>
            </w:r>
          </w:p>
        </w:tc>
      </w:tr>
      <w:tr>
        <w:tblPrEx>
          <w:tblCellMar>
            <w:top w:w="0" w:type="dxa"/>
            <w:left w:w="108" w:type="dxa"/>
            <w:bottom w:w="0" w:type="dxa"/>
            <w:right w:w="108" w:type="dxa"/>
          </w:tblCellMar>
        </w:tblPrEx>
        <w:trPr>
          <w:trHeight w:val="3028" w:hRule="atLeast"/>
          <w:jc w:val="center"/>
        </w:trPr>
        <w:tc>
          <w:tcPr>
            <w:tcW w:w="456" w:type="dxa"/>
            <w:tcBorders>
              <w:top w:val="nil"/>
              <w:left w:val="single" w:color="000000" w:sz="4" w:space="0"/>
              <w:bottom w:val="single" w:color="000000" w:sz="4" w:space="0"/>
              <w:right w:val="single" w:color="000000" w:sz="4" w:space="0"/>
            </w:tcBorders>
            <w:noWrap/>
            <w:vAlign w:val="center"/>
          </w:tcPr>
          <w:p>
            <w:pPr>
              <w:widowControl/>
              <w:spacing w:line="360" w:lineRule="exact"/>
              <w:jc w:val="center"/>
              <w:rPr>
                <w:rFonts w:ascii="仿宋_GB2312" w:hAnsi="仿宋_GB2312" w:cs="仿宋_GB2312"/>
                <w:kern w:val="0"/>
                <w:sz w:val="24"/>
                <w:szCs w:val="24"/>
              </w:rPr>
            </w:pPr>
            <w:r>
              <w:rPr>
                <w:rFonts w:hint="eastAsia" w:ascii="仿宋_GB2312" w:hAnsi="仿宋_GB2312" w:cs="仿宋_GB2312"/>
                <w:kern w:val="0"/>
                <w:sz w:val="24"/>
                <w:szCs w:val="24"/>
              </w:rPr>
              <w:t>5</w:t>
            </w:r>
          </w:p>
        </w:tc>
        <w:tc>
          <w:tcPr>
            <w:tcW w:w="1240" w:type="dxa"/>
            <w:tcBorders>
              <w:top w:val="nil"/>
              <w:left w:val="nil"/>
              <w:bottom w:val="single" w:color="000000" w:sz="4" w:space="0"/>
              <w:right w:val="single" w:color="000000" w:sz="4" w:space="0"/>
            </w:tcBorders>
            <w:vAlign w:val="center"/>
          </w:tcPr>
          <w:p>
            <w:pPr>
              <w:widowControl/>
              <w:spacing w:line="360" w:lineRule="exact"/>
              <w:rPr>
                <w:rFonts w:ascii="仿宋_GB2312" w:hAnsi="仿宋_GB2312" w:cs="仿宋_GB2312"/>
                <w:kern w:val="0"/>
                <w:sz w:val="24"/>
                <w:szCs w:val="24"/>
              </w:rPr>
            </w:pPr>
            <w:r>
              <w:rPr>
                <w:rFonts w:hint="eastAsia" w:ascii="仿宋_GB2312" w:hAnsi="仿宋_GB2312" w:cs="仿宋_GB2312"/>
                <w:kern w:val="0"/>
                <w:sz w:val="24"/>
                <w:szCs w:val="24"/>
              </w:rPr>
              <w:t>区块链税务管理服务云平台</w:t>
            </w:r>
          </w:p>
        </w:tc>
        <w:tc>
          <w:tcPr>
            <w:tcW w:w="5954" w:type="dxa"/>
            <w:tcBorders>
              <w:top w:val="nil"/>
              <w:left w:val="nil"/>
              <w:bottom w:val="single" w:color="000000" w:sz="4" w:space="0"/>
              <w:right w:val="single" w:color="000000" w:sz="4" w:space="0"/>
            </w:tcBorders>
            <w:vAlign w:val="center"/>
          </w:tcPr>
          <w:p>
            <w:pPr>
              <w:widowControl/>
              <w:spacing w:line="360" w:lineRule="exact"/>
              <w:rPr>
                <w:rFonts w:ascii="仿宋_GB2312" w:hAnsi="仿宋_GB2312" w:cs="仿宋_GB2312"/>
                <w:kern w:val="0"/>
                <w:sz w:val="24"/>
                <w:szCs w:val="24"/>
              </w:rPr>
            </w:pPr>
            <w:r>
              <w:rPr>
                <w:rFonts w:hint="eastAsia" w:ascii="仿宋_GB2312" w:hAnsi="仿宋_GB2312" w:cs="仿宋_GB2312"/>
                <w:kern w:val="0"/>
                <w:sz w:val="24"/>
                <w:szCs w:val="24"/>
              </w:rPr>
              <w:t>借助区块链底层技术，启动“区块链云平台”和数据导入验证功能，实现平台数据不可篡改、多中心、可追溯，拓展了区块链发票在税务、政府和企业的应用场景。平台推动税务与政府、企业三者间的互联互通，实现纳服、征管、风控三大税收功能，通过税企实时交互、人工智能咨询与电子税务局配合，对接相关部门，实现全流程网上办税。通过“区块链技术国产自主产权的桌面操作系统人脸识别登录”三重信息安全保障，确保链上链下数据安全。</w:t>
            </w:r>
          </w:p>
        </w:tc>
        <w:tc>
          <w:tcPr>
            <w:tcW w:w="979" w:type="dxa"/>
            <w:tcBorders>
              <w:top w:val="nil"/>
              <w:left w:val="nil"/>
              <w:bottom w:val="single" w:color="000000" w:sz="4" w:space="0"/>
              <w:right w:val="single" w:color="000000" w:sz="4" w:space="0"/>
            </w:tcBorders>
            <w:vAlign w:val="center"/>
          </w:tcPr>
          <w:p>
            <w:pPr>
              <w:widowControl/>
              <w:spacing w:line="360" w:lineRule="exact"/>
              <w:jc w:val="center"/>
              <w:rPr>
                <w:rFonts w:ascii="仿宋_GB2312" w:hAnsi="仿宋_GB2312" w:cs="仿宋_GB2312"/>
                <w:kern w:val="0"/>
                <w:sz w:val="24"/>
                <w:szCs w:val="24"/>
              </w:rPr>
            </w:pPr>
            <w:r>
              <w:rPr>
                <w:rFonts w:hint="eastAsia" w:ascii="仿宋_GB2312" w:hAnsi="仿宋_GB2312" w:cs="仿宋_GB2312"/>
                <w:kern w:val="0"/>
                <w:sz w:val="24"/>
                <w:szCs w:val="24"/>
              </w:rPr>
              <w:t>深圳市税务局</w:t>
            </w:r>
          </w:p>
        </w:tc>
        <w:tc>
          <w:tcPr>
            <w:tcW w:w="849" w:type="dxa"/>
            <w:tcBorders>
              <w:top w:val="nil"/>
              <w:left w:val="nil"/>
              <w:bottom w:val="single" w:color="000000" w:sz="4" w:space="0"/>
              <w:right w:val="single" w:color="000000" w:sz="4" w:space="0"/>
            </w:tcBorders>
            <w:vAlign w:val="center"/>
          </w:tcPr>
          <w:p>
            <w:pPr>
              <w:widowControl/>
              <w:spacing w:line="360" w:lineRule="exact"/>
              <w:rPr>
                <w:rFonts w:ascii="仿宋_GB2312" w:hAnsi="仿宋_GB2312" w:cs="仿宋_GB2312"/>
                <w:kern w:val="0"/>
                <w:sz w:val="24"/>
                <w:szCs w:val="24"/>
              </w:rPr>
            </w:pPr>
            <w:r>
              <w:rPr>
                <w:rFonts w:hint="eastAsia" w:ascii="仿宋_GB2312" w:hAnsi="仿宋_GB2312" w:cs="仿宋_GB2312"/>
                <w:kern w:val="0"/>
                <w:sz w:val="24"/>
                <w:szCs w:val="24"/>
              </w:rPr>
              <w:t>全市</w:t>
            </w:r>
          </w:p>
        </w:tc>
      </w:tr>
      <w:tr>
        <w:tblPrEx>
          <w:tblCellMar>
            <w:top w:w="0" w:type="dxa"/>
            <w:left w:w="108" w:type="dxa"/>
            <w:bottom w:w="0" w:type="dxa"/>
            <w:right w:w="108" w:type="dxa"/>
          </w:tblCellMar>
        </w:tblPrEx>
        <w:trPr>
          <w:trHeight w:val="2816" w:hRule="atLeast"/>
          <w:jc w:val="center"/>
        </w:trPr>
        <w:tc>
          <w:tcPr>
            <w:tcW w:w="456" w:type="dxa"/>
            <w:tcBorders>
              <w:top w:val="nil"/>
              <w:left w:val="single" w:color="000000" w:sz="4" w:space="0"/>
              <w:bottom w:val="single" w:color="000000" w:sz="4" w:space="0"/>
              <w:right w:val="single" w:color="000000" w:sz="4" w:space="0"/>
            </w:tcBorders>
            <w:noWrap/>
            <w:vAlign w:val="center"/>
          </w:tcPr>
          <w:p>
            <w:pPr>
              <w:widowControl/>
              <w:spacing w:line="360" w:lineRule="exact"/>
              <w:jc w:val="center"/>
              <w:rPr>
                <w:rFonts w:ascii="仿宋_GB2312" w:hAnsi="仿宋_GB2312" w:cs="仿宋_GB2312"/>
                <w:kern w:val="0"/>
                <w:sz w:val="24"/>
                <w:szCs w:val="24"/>
              </w:rPr>
            </w:pPr>
            <w:r>
              <w:rPr>
                <w:rFonts w:hint="eastAsia" w:ascii="仿宋_GB2312" w:hAnsi="仿宋_GB2312" w:cs="仿宋_GB2312"/>
                <w:kern w:val="0"/>
                <w:sz w:val="24"/>
                <w:szCs w:val="24"/>
              </w:rPr>
              <w:t>6</w:t>
            </w:r>
          </w:p>
        </w:tc>
        <w:tc>
          <w:tcPr>
            <w:tcW w:w="1240" w:type="dxa"/>
            <w:tcBorders>
              <w:top w:val="nil"/>
              <w:left w:val="nil"/>
              <w:bottom w:val="single" w:color="000000" w:sz="4" w:space="0"/>
              <w:right w:val="single" w:color="000000" w:sz="4" w:space="0"/>
            </w:tcBorders>
            <w:vAlign w:val="center"/>
          </w:tcPr>
          <w:p>
            <w:pPr>
              <w:widowControl/>
              <w:spacing w:line="360" w:lineRule="exact"/>
              <w:rPr>
                <w:rFonts w:ascii="仿宋_GB2312" w:hAnsi="仿宋_GB2312" w:cs="仿宋_GB2312"/>
                <w:kern w:val="0"/>
                <w:sz w:val="24"/>
                <w:szCs w:val="24"/>
              </w:rPr>
            </w:pPr>
            <w:r>
              <w:rPr>
                <w:rFonts w:hint="eastAsia" w:ascii="仿宋_GB2312" w:hAnsi="仿宋_GB2312" w:cs="仿宋_GB2312"/>
                <w:kern w:val="0"/>
                <w:sz w:val="24"/>
                <w:szCs w:val="24"/>
              </w:rPr>
              <w:t>香港专业机构和专业人士开业执业便利化措施</w:t>
            </w:r>
          </w:p>
        </w:tc>
        <w:tc>
          <w:tcPr>
            <w:tcW w:w="5954" w:type="dxa"/>
            <w:tcBorders>
              <w:top w:val="nil"/>
              <w:left w:val="nil"/>
              <w:bottom w:val="single" w:color="000000" w:sz="4" w:space="0"/>
              <w:right w:val="single" w:color="000000" w:sz="4" w:space="0"/>
            </w:tcBorders>
            <w:vAlign w:val="center"/>
          </w:tcPr>
          <w:p>
            <w:pPr>
              <w:widowControl/>
              <w:spacing w:line="360" w:lineRule="exact"/>
              <w:rPr>
                <w:rFonts w:ascii="仿宋_GB2312" w:hAnsi="仿宋_GB2312" w:cs="仿宋_GB2312"/>
                <w:kern w:val="0"/>
                <w:sz w:val="24"/>
                <w:szCs w:val="24"/>
              </w:rPr>
            </w:pPr>
            <w:r>
              <w:rPr>
                <w:rFonts w:hint="eastAsia" w:ascii="仿宋_GB2312" w:hAnsi="仿宋_GB2312" w:cs="仿宋_GB2312"/>
                <w:kern w:val="0"/>
                <w:sz w:val="24"/>
                <w:szCs w:val="24"/>
              </w:rPr>
              <w:t>出台相应管理办法，香港建筑领域的专业机构和专业人士可根据管理办法中规定的备案范围及对标清单进行备案。允许备案机构、人士直接参与特定地域范围内建设工程项目设计的招投标活动，在特定地域范围内为市场主体提供勘察、设计、监理、造价等服务,对勘察结果、设计图纸和文件、质量安全等管理工作成果、监督工作成果予以认可签字。相关部门对已备案专业机构及专业人士进行事中事后监管。</w:t>
            </w:r>
          </w:p>
        </w:tc>
        <w:tc>
          <w:tcPr>
            <w:tcW w:w="979" w:type="dxa"/>
            <w:tcBorders>
              <w:top w:val="nil"/>
              <w:left w:val="nil"/>
              <w:bottom w:val="single" w:color="000000" w:sz="4" w:space="0"/>
              <w:right w:val="single" w:color="000000" w:sz="4" w:space="0"/>
            </w:tcBorders>
            <w:vAlign w:val="center"/>
          </w:tcPr>
          <w:p>
            <w:pPr>
              <w:widowControl/>
              <w:spacing w:line="360" w:lineRule="exact"/>
              <w:jc w:val="center"/>
              <w:rPr>
                <w:rFonts w:ascii="仿宋_GB2312" w:hAnsi="仿宋_GB2312" w:cs="仿宋_GB2312"/>
                <w:kern w:val="0"/>
                <w:sz w:val="24"/>
                <w:szCs w:val="24"/>
              </w:rPr>
            </w:pPr>
            <w:r>
              <w:rPr>
                <w:rFonts w:hint="eastAsia" w:ascii="仿宋_GB2312" w:hAnsi="仿宋_GB2312" w:cs="仿宋_GB2312"/>
                <w:kern w:val="0"/>
                <w:sz w:val="24"/>
                <w:szCs w:val="24"/>
              </w:rPr>
              <w:t>市住房建设局</w:t>
            </w:r>
          </w:p>
        </w:tc>
        <w:tc>
          <w:tcPr>
            <w:tcW w:w="849" w:type="dxa"/>
            <w:tcBorders>
              <w:top w:val="nil"/>
              <w:left w:val="nil"/>
              <w:bottom w:val="single" w:color="000000" w:sz="4" w:space="0"/>
              <w:right w:val="single" w:color="000000" w:sz="4" w:space="0"/>
            </w:tcBorders>
            <w:vAlign w:val="center"/>
          </w:tcPr>
          <w:p>
            <w:pPr>
              <w:widowControl/>
              <w:spacing w:line="360" w:lineRule="exact"/>
              <w:rPr>
                <w:rFonts w:ascii="仿宋_GB2312" w:hAnsi="仿宋_GB2312" w:cs="仿宋_GB2312"/>
                <w:kern w:val="0"/>
                <w:sz w:val="24"/>
                <w:szCs w:val="24"/>
              </w:rPr>
            </w:pPr>
            <w:r>
              <w:rPr>
                <w:rFonts w:hint="eastAsia" w:ascii="仿宋_GB2312" w:hAnsi="仿宋_GB2312" w:cs="仿宋_GB2312"/>
                <w:kern w:val="0"/>
                <w:sz w:val="24"/>
                <w:szCs w:val="24"/>
              </w:rPr>
              <w:t>全市</w:t>
            </w:r>
          </w:p>
        </w:tc>
      </w:tr>
      <w:tr>
        <w:tblPrEx>
          <w:tblCellMar>
            <w:top w:w="0" w:type="dxa"/>
            <w:left w:w="108" w:type="dxa"/>
            <w:bottom w:w="0" w:type="dxa"/>
            <w:right w:w="108" w:type="dxa"/>
          </w:tblCellMar>
        </w:tblPrEx>
        <w:trPr>
          <w:trHeight w:val="2514" w:hRule="atLeast"/>
          <w:jc w:val="center"/>
        </w:trPr>
        <w:tc>
          <w:tcPr>
            <w:tcW w:w="456" w:type="dxa"/>
            <w:tcBorders>
              <w:top w:val="nil"/>
              <w:left w:val="single" w:color="000000" w:sz="4" w:space="0"/>
              <w:bottom w:val="single" w:color="auto" w:sz="4" w:space="0"/>
              <w:right w:val="single" w:color="000000" w:sz="4" w:space="0"/>
            </w:tcBorders>
            <w:noWrap/>
            <w:vAlign w:val="center"/>
          </w:tcPr>
          <w:p>
            <w:pPr>
              <w:widowControl/>
              <w:spacing w:line="360" w:lineRule="exact"/>
              <w:jc w:val="center"/>
              <w:rPr>
                <w:rFonts w:ascii="仿宋_GB2312" w:hAnsi="仿宋_GB2312" w:cs="仿宋_GB2312"/>
                <w:kern w:val="0"/>
                <w:sz w:val="24"/>
                <w:szCs w:val="24"/>
              </w:rPr>
            </w:pPr>
            <w:r>
              <w:rPr>
                <w:rFonts w:hint="eastAsia" w:ascii="仿宋_GB2312" w:hAnsi="仿宋_GB2312" w:cs="仿宋_GB2312"/>
                <w:kern w:val="0"/>
                <w:sz w:val="24"/>
                <w:szCs w:val="24"/>
              </w:rPr>
              <w:t>7</w:t>
            </w:r>
          </w:p>
        </w:tc>
        <w:tc>
          <w:tcPr>
            <w:tcW w:w="1240" w:type="dxa"/>
            <w:tcBorders>
              <w:top w:val="nil"/>
              <w:left w:val="nil"/>
              <w:bottom w:val="single" w:color="auto" w:sz="4" w:space="0"/>
              <w:right w:val="single" w:color="000000" w:sz="4" w:space="0"/>
            </w:tcBorders>
            <w:vAlign w:val="center"/>
          </w:tcPr>
          <w:p>
            <w:pPr>
              <w:widowControl/>
              <w:spacing w:line="360" w:lineRule="exact"/>
              <w:rPr>
                <w:rFonts w:ascii="仿宋_GB2312" w:hAnsi="仿宋_GB2312" w:cs="仿宋_GB2312"/>
                <w:kern w:val="0"/>
                <w:sz w:val="24"/>
                <w:szCs w:val="24"/>
              </w:rPr>
            </w:pPr>
            <w:r>
              <w:rPr>
                <w:rFonts w:hint="eastAsia" w:ascii="仿宋_GB2312" w:hAnsi="仿宋_GB2312" w:cs="仿宋_GB2312"/>
                <w:kern w:val="0"/>
                <w:sz w:val="24"/>
                <w:szCs w:val="24"/>
              </w:rPr>
              <w:t>港人港企首席联络员直通车服务</w:t>
            </w:r>
          </w:p>
        </w:tc>
        <w:tc>
          <w:tcPr>
            <w:tcW w:w="5954" w:type="dxa"/>
            <w:tcBorders>
              <w:top w:val="nil"/>
              <w:left w:val="nil"/>
              <w:bottom w:val="single" w:color="auto" w:sz="4" w:space="0"/>
              <w:right w:val="single" w:color="000000" w:sz="4" w:space="0"/>
            </w:tcBorders>
            <w:vAlign w:val="center"/>
          </w:tcPr>
          <w:p>
            <w:pPr>
              <w:widowControl/>
              <w:spacing w:line="360" w:lineRule="exact"/>
              <w:rPr>
                <w:rFonts w:ascii="仿宋_GB2312" w:hAnsi="仿宋_GB2312" w:cs="仿宋_GB2312"/>
                <w:kern w:val="0"/>
                <w:sz w:val="24"/>
                <w:szCs w:val="24"/>
              </w:rPr>
            </w:pPr>
            <w:r>
              <w:rPr>
                <w:rFonts w:hint="eastAsia" w:ascii="仿宋_GB2312" w:hAnsi="仿宋_GB2312" w:cs="仿宋_GB2312"/>
                <w:kern w:val="0"/>
                <w:sz w:val="24"/>
                <w:szCs w:val="24"/>
              </w:rPr>
              <w:t>建设港人港企直通车工作室，积极开展对港人港企税收政策的宣传辅导与涉税体验的优化工作。线下设置港企直通车窗口，开通港企办税绿色通道。线上依托区块链管理服务云平台，探索港企涉税事项智能化办理及“非接触”远程办理。梳理港人港企涉税需求，形成业务指南。加强涉税政策指导和服务创新，完善税企双向沟通和反馈机制，积极开展热点事项培训。</w:t>
            </w:r>
          </w:p>
        </w:tc>
        <w:tc>
          <w:tcPr>
            <w:tcW w:w="979" w:type="dxa"/>
            <w:tcBorders>
              <w:top w:val="nil"/>
              <w:left w:val="nil"/>
              <w:bottom w:val="single" w:color="auto" w:sz="4" w:space="0"/>
              <w:right w:val="single" w:color="000000" w:sz="4" w:space="0"/>
            </w:tcBorders>
            <w:vAlign w:val="center"/>
          </w:tcPr>
          <w:p>
            <w:pPr>
              <w:widowControl/>
              <w:spacing w:line="360" w:lineRule="exact"/>
              <w:jc w:val="center"/>
              <w:rPr>
                <w:rFonts w:ascii="仿宋_GB2312" w:hAnsi="仿宋_GB2312" w:cs="仿宋_GB2312"/>
                <w:kern w:val="0"/>
                <w:sz w:val="24"/>
                <w:szCs w:val="24"/>
              </w:rPr>
            </w:pPr>
            <w:r>
              <w:rPr>
                <w:rFonts w:hint="eastAsia" w:ascii="仿宋_GB2312" w:hAnsi="仿宋_GB2312" w:cs="仿宋_GB2312"/>
                <w:kern w:val="0"/>
                <w:sz w:val="24"/>
                <w:szCs w:val="24"/>
              </w:rPr>
              <w:t>深圳市税务局</w:t>
            </w:r>
          </w:p>
        </w:tc>
        <w:tc>
          <w:tcPr>
            <w:tcW w:w="849" w:type="dxa"/>
            <w:tcBorders>
              <w:top w:val="nil"/>
              <w:left w:val="nil"/>
              <w:bottom w:val="single" w:color="auto" w:sz="4" w:space="0"/>
              <w:right w:val="single" w:color="000000" w:sz="4" w:space="0"/>
            </w:tcBorders>
            <w:vAlign w:val="center"/>
          </w:tcPr>
          <w:p>
            <w:pPr>
              <w:widowControl/>
              <w:spacing w:line="360" w:lineRule="exact"/>
              <w:rPr>
                <w:rFonts w:ascii="仿宋_GB2312" w:hAnsi="仿宋_GB2312" w:cs="仿宋_GB2312"/>
                <w:kern w:val="0"/>
                <w:sz w:val="24"/>
                <w:szCs w:val="24"/>
              </w:rPr>
            </w:pPr>
            <w:r>
              <w:rPr>
                <w:rFonts w:hint="eastAsia" w:ascii="仿宋_GB2312" w:hAnsi="仿宋_GB2312" w:cs="仿宋_GB2312"/>
                <w:kern w:val="0"/>
                <w:sz w:val="24"/>
                <w:szCs w:val="24"/>
              </w:rPr>
              <w:t>全市</w:t>
            </w:r>
          </w:p>
        </w:tc>
      </w:tr>
      <w:tr>
        <w:tblPrEx>
          <w:tblCellMar>
            <w:top w:w="0" w:type="dxa"/>
            <w:left w:w="108" w:type="dxa"/>
            <w:bottom w:w="0" w:type="dxa"/>
            <w:right w:w="108" w:type="dxa"/>
          </w:tblCellMar>
        </w:tblPrEx>
        <w:trPr>
          <w:trHeight w:val="1890" w:hRule="atLeast"/>
          <w:jc w:val="center"/>
        </w:trPr>
        <w:tc>
          <w:tcPr>
            <w:tcW w:w="456" w:type="dxa"/>
            <w:tcBorders>
              <w:top w:val="single" w:color="auto" w:sz="4" w:space="0"/>
              <w:left w:val="single" w:color="auto" w:sz="4" w:space="0"/>
              <w:bottom w:val="single" w:color="auto" w:sz="4" w:space="0"/>
              <w:right w:val="single" w:color="000000" w:sz="4" w:space="0"/>
            </w:tcBorders>
            <w:noWrap/>
            <w:vAlign w:val="center"/>
          </w:tcPr>
          <w:p>
            <w:pPr>
              <w:widowControl/>
              <w:spacing w:line="320" w:lineRule="exact"/>
              <w:jc w:val="center"/>
              <w:rPr>
                <w:rFonts w:ascii="仿宋_GB2312" w:hAnsi="仿宋_GB2312" w:cs="仿宋_GB2312"/>
                <w:kern w:val="0"/>
                <w:sz w:val="24"/>
                <w:szCs w:val="24"/>
              </w:rPr>
            </w:pPr>
            <w:r>
              <w:rPr>
                <w:rFonts w:hint="eastAsia" w:ascii="仿宋_GB2312" w:hAnsi="仿宋_GB2312" w:cs="仿宋_GB2312"/>
                <w:kern w:val="0"/>
                <w:sz w:val="24"/>
                <w:szCs w:val="24"/>
              </w:rPr>
              <w:t>8</w:t>
            </w:r>
          </w:p>
        </w:tc>
        <w:tc>
          <w:tcPr>
            <w:tcW w:w="1240" w:type="dxa"/>
            <w:tcBorders>
              <w:top w:val="single" w:color="auto" w:sz="4" w:space="0"/>
              <w:left w:val="nil"/>
              <w:bottom w:val="single" w:color="auto" w:sz="4" w:space="0"/>
              <w:right w:val="single" w:color="000000" w:sz="4" w:space="0"/>
            </w:tcBorders>
            <w:vAlign w:val="center"/>
          </w:tcPr>
          <w:p>
            <w:pPr>
              <w:widowControl/>
              <w:spacing w:line="320" w:lineRule="exact"/>
              <w:rPr>
                <w:rFonts w:ascii="仿宋_GB2312" w:hAnsi="仿宋_GB2312" w:cs="仿宋_GB2312"/>
                <w:kern w:val="0"/>
                <w:sz w:val="24"/>
                <w:szCs w:val="24"/>
              </w:rPr>
            </w:pPr>
            <w:r>
              <w:rPr>
                <w:rFonts w:hint="eastAsia" w:ascii="仿宋_GB2312" w:hAnsi="仿宋_GB2312" w:cs="仿宋_GB2312"/>
                <w:kern w:val="0"/>
                <w:sz w:val="24"/>
                <w:szCs w:val="24"/>
              </w:rPr>
              <w:t>字典类政策工具</w:t>
            </w:r>
          </w:p>
        </w:tc>
        <w:tc>
          <w:tcPr>
            <w:tcW w:w="5954" w:type="dxa"/>
            <w:tcBorders>
              <w:top w:val="single" w:color="auto" w:sz="4" w:space="0"/>
              <w:left w:val="nil"/>
              <w:bottom w:val="single" w:color="auto" w:sz="4" w:space="0"/>
              <w:right w:val="single" w:color="000000" w:sz="4" w:space="0"/>
            </w:tcBorders>
            <w:vAlign w:val="center"/>
          </w:tcPr>
          <w:p>
            <w:pPr>
              <w:widowControl/>
              <w:spacing w:line="320" w:lineRule="exact"/>
              <w:rPr>
                <w:rFonts w:ascii="仿宋_GB2312" w:hAnsi="仿宋_GB2312" w:cs="仿宋_GB2312"/>
                <w:kern w:val="0"/>
                <w:sz w:val="24"/>
                <w:szCs w:val="24"/>
              </w:rPr>
            </w:pPr>
            <w:r>
              <w:rPr>
                <w:rFonts w:hint="eastAsia" w:ascii="仿宋_GB2312" w:hAnsi="仿宋_GB2312" w:cs="仿宋_GB2312"/>
                <w:kern w:val="0"/>
                <w:sz w:val="24"/>
                <w:szCs w:val="24"/>
              </w:rPr>
              <w:t>编制并发布字典类政策工具书</w:t>
            </w:r>
            <w:r>
              <w:rPr>
                <w:rFonts w:hint="eastAsia" w:ascii="宋体" w:hAnsi="宋体" w:eastAsia="宋体" w:cs="宋体"/>
                <w:kern w:val="0"/>
                <w:sz w:val="24"/>
                <w:szCs w:val="24"/>
              </w:rPr>
              <w:t>——</w:t>
            </w:r>
            <w:r>
              <w:rPr>
                <w:rFonts w:hint="eastAsia" w:ascii="仿宋_GB2312" w:hAnsi="仿宋_GB2312" w:cs="仿宋_GB2312"/>
                <w:kern w:val="0"/>
                <w:sz w:val="24"/>
                <w:szCs w:val="24"/>
              </w:rPr>
              <w:t>《创业政策字典》。收录创新创业相关的政策文本，并提炼标签与政策要义，简明扼要体现政策核心内容，按多种查询方式设置查询目录及多级子目录，帮助企业和人才全面了解产业政策，快速查询所需政策内容。</w:t>
            </w:r>
          </w:p>
        </w:tc>
        <w:tc>
          <w:tcPr>
            <w:tcW w:w="979" w:type="dxa"/>
            <w:tcBorders>
              <w:top w:val="single" w:color="auto" w:sz="4" w:space="0"/>
              <w:left w:val="nil"/>
              <w:bottom w:val="single" w:color="auto" w:sz="4" w:space="0"/>
              <w:right w:val="single" w:color="000000" w:sz="4" w:space="0"/>
            </w:tcBorders>
            <w:vAlign w:val="center"/>
          </w:tcPr>
          <w:p>
            <w:pPr>
              <w:widowControl/>
              <w:spacing w:line="320" w:lineRule="exact"/>
              <w:jc w:val="center"/>
              <w:rPr>
                <w:rFonts w:ascii="仿宋_GB2312" w:hAnsi="仿宋_GB2312" w:cs="仿宋_GB2312"/>
                <w:kern w:val="0"/>
                <w:sz w:val="24"/>
                <w:szCs w:val="24"/>
              </w:rPr>
            </w:pPr>
            <w:r>
              <w:rPr>
                <w:rFonts w:hint="eastAsia" w:ascii="仿宋_GB2312" w:hAnsi="仿宋_GB2312" w:cs="仿宋_GB2312"/>
                <w:kern w:val="0"/>
                <w:sz w:val="24"/>
                <w:szCs w:val="24"/>
              </w:rPr>
              <w:t>市中小企业服务局</w:t>
            </w:r>
          </w:p>
        </w:tc>
        <w:tc>
          <w:tcPr>
            <w:tcW w:w="849" w:type="dxa"/>
            <w:tcBorders>
              <w:top w:val="single" w:color="auto" w:sz="4" w:space="0"/>
              <w:left w:val="nil"/>
              <w:bottom w:val="single" w:color="auto" w:sz="4" w:space="0"/>
              <w:right w:val="single" w:color="auto" w:sz="4" w:space="0"/>
            </w:tcBorders>
            <w:vAlign w:val="center"/>
          </w:tcPr>
          <w:p>
            <w:pPr>
              <w:widowControl/>
              <w:spacing w:line="320" w:lineRule="exact"/>
              <w:rPr>
                <w:rFonts w:ascii="仿宋_GB2312" w:hAnsi="仿宋_GB2312" w:cs="仿宋_GB2312"/>
                <w:kern w:val="0"/>
                <w:sz w:val="24"/>
                <w:szCs w:val="24"/>
              </w:rPr>
            </w:pPr>
            <w:r>
              <w:rPr>
                <w:rFonts w:hint="eastAsia" w:ascii="仿宋_GB2312" w:hAnsi="仿宋_GB2312" w:cs="仿宋_GB2312"/>
                <w:kern w:val="0"/>
                <w:sz w:val="24"/>
                <w:szCs w:val="24"/>
              </w:rPr>
              <w:t>全市</w:t>
            </w:r>
          </w:p>
        </w:tc>
      </w:tr>
      <w:tr>
        <w:tblPrEx>
          <w:tblCellMar>
            <w:top w:w="0" w:type="dxa"/>
            <w:left w:w="108" w:type="dxa"/>
            <w:bottom w:w="0" w:type="dxa"/>
            <w:right w:w="108" w:type="dxa"/>
          </w:tblCellMar>
        </w:tblPrEx>
        <w:trPr>
          <w:trHeight w:val="335" w:hRule="atLeast"/>
          <w:jc w:val="center"/>
        </w:trPr>
        <w:tc>
          <w:tcPr>
            <w:tcW w:w="9478" w:type="dxa"/>
            <w:gridSpan w:val="5"/>
            <w:tcBorders>
              <w:top w:val="single" w:color="auto" w:sz="4" w:space="0"/>
              <w:left w:val="single" w:color="000000" w:sz="4" w:space="0"/>
              <w:bottom w:val="single" w:color="000000" w:sz="4" w:space="0"/>
              <w:right w:val="single" w:color="000000" w:sz="4" w:space="0"/>
            </w:tcBorders>
            <w:noWrap/>
            <w:vAlign w:val="center"/>
          </w:tcPr>
          <w:p>
            <w:pPr>
              <w:widowControl/>
              <w:spacing w:line="320" w:lineRule="exact"/>
              <w:jc w:val="left"/>
              <w:rPr>
                <w:rFonts w:ascii="仿宋_GB2312" w:hAnsi="仿宋_GB2312" w:cs="仿宋_GB2312"/>
                <w:kern w:val="0"/>
                <w:sz w:val="24"/>
                <w:szCs w:val="24"/>
              </w:rPr>
            </w:pPr>
            <w:r>
              <w:rPr>
                <w:rFonts w:hint="eastAsia" w:ascii="仿宋_GB2312" w:hAnsi="仿宋_GB2312" w:cs="仿宋_GB2312"/>
                <w:kern w:val="0"/>
                <w:sz w:val="24"/>
                <w:szCs w:val="24"/>
              </w:rPr>
              <w:t>二、贸易便利化（4项）</w:t>
            </w:r>
          </w:p>
        </w:tc>
      </w:tr>
      <w:tr>
        <w:tblPrEx>
          <w:tblCellMar>
            <w:top w:w="0" w:type="dxa"/>
            <w:left w:w="108" w:type="dxa"/>
            <w:bottom w:w="0" w:type="dxa"/>
            <w:right w:w="108" w:type="dxa"/>
          </w:tblCellMar>
        </w:tblPrEx>
        <w:trPr>
          <w:trHeight w:val="1361" w:hRule="atLeast"/>
          <w:jc w:val="center"/>
        </w:trPr>
        <w:tc>
          <w:tcPr>
            <w:tcW w:w="456" w:type="dxa"/>
            <w:tcBorders>
              <w:top w:val="nil"/>
              <w:left w:val="single" w:color="000000" w:sz="4" w:space="0"/>
              <w:bottom w:val="single" w:color="000000" w:sz="4" w:space="0"/>
              <w:right w:val="single" w:color="000000" w:sz="4" w:space="0"/>
            </w:tcBorders>
            <w:noWrap/>
            <w:vAlign w:val="center"/>
          </w:tcPr>
          <w:p>
            <w:pPr>
              <w:widowControl/>
              <w:spacing w:line="320" w:lineRule="exact"/>
              <w:jc w:val="center"/>
              <w:rPr>
                <w:rFonts w:ascii="仿宋_GB2312" w:hAnsi="仿宋_GB2312" w:cs="仿宋_GB2312"/>
                <w:kern w:val="0"/>
                <w:sz w:val="24"/>
                <w:szCs w:val="24"/>
              </w:rPr>
            </w:pPr>
            <w:r>
              <w:rPr>
                <w:rFonts w:hint="eastAsia" w:ascii="仿宋_GB2312" w:hAnsi="仿宋_GB2312" w:cs="仿宋_GB2312"/>
                <w:kern w:val="0"/>
                <w:sz w:val="24"/>
                <w:szCs w:val="24"/>
              </w:rPr>
              <w:t>9</w:t>
            </w:r>
          </w:p>
        </w:tc>
        <w:tc>
          <w:tcPr>
            <w:tcW w:w="1240" w:type="dxa"/>
            <w:tcBorders>
              <w:top w:val="nil"/>
              <w:left w:val="nil"/>
              <w:bottom w:val="single" w:color="000000" w:sz="4" w:space="0"/>
              <w:right w:val="single" w:color="000000" w:sz="4" w:space="0"/>
            </w:tcBorders>
            <w:vAlign w:val="center"/>
          </w:tcPr>
          <w:p>
            <w:pPr>
              <w:widowControl/>
              <w:spacing w:line="320" w:lineRule="exact"/>
              <w:rPr>
                <w:rFonts w:ascii="仿宋_GB2312" w:hAnsi="仿宋_GB2312" w:cs="仿宋_GB2312"/>
                <w:kern w:val="0"/>
                <w:sz w:val="24"/>
                <w:szCs w:val="24"/>
              </w:rPr>
            </w:pPr>
            <w:r>
              <w:rPr>
                <w:rFonts w:hint="eastAsia" w:ascii="仿宋_GB2312" w:hAnsi="仿宋_GB2312" w:cs="仿宋_GB2312"/>
                <w:kern w:val="0"/>
                <w:sz w:val="24"/>
                <w:szCs w:val="24"/>
              </w:rPr>
              <w:t>通关业务在线服务窗口</w:t>
            </w:r>
          </w:p>
        </w:tc>
        <w:tc>
          <w:tcPr>
            <w:tcW w:w="5954" w:type="dxa"/>
            <w:tcBorders>
              <w:top w:val="nil"/>
              <w:left w:val="nil"/>
              <w:bottom w:val="single" w:color="000000" w:sz="4" w:space="0"/>
              <w:right w:val="single" w:color="000000" w:sz="4" w:space="0"/>
            </w:tcBorders>
            <w:vAlign w:val="center"/>
          </w:tcPr>
          <w:p>
            <w:pPr>
              <w:widowControl/>
              <w:spacing w:line="320" w:lineRule="exact"/>
              <w:rPr>
                <w:rFonts w:ascii="仿宋_GB2312" w:hAnsi="仿宋_GB2312" w:cs="仿宋_GB2312"/>
                <w:kern w:val="0"/>
                <w:sz w:val="24"/>
                <w:szCs w:val="24"/>
              </w:rPr>
            </w:pPr>
            <w:r>
              <w:rPr>
                <w:rFonts w:hint="eastAsia" w:ascii="仿宋_GB2312" w:hAnsi="仿宋_GB2312" w:cs="仿宋_GB2312"/>
                <w:kern w:val="0"/>
                <w:sz w:val="24"/>
                <w:szCs w:val="24"/>
              </w:rPr>
              <w:t>推出“前海通关业务在线服务窗口”，企业可通过该窗口提交电子数据，无需前往海关窗口。通过一般业务在线受理、实时审核、特殊业务先行办理、容缺后补的灵活处理方式，最大限度减少接触风险。</w:t>
            </w:r>
          </w:p>
        </w:tc>
        <w:tc>
          <w:tcPr>
            <w:tcW w:w="979" w:type="dxa"/>
            <w:tcBorders>
              <w:top w:val="nil"/>
              <w:left w:val="nil"/>
              <w:bottom w:val="single" w:color="000000" w:sz="4" w:space="0"/>
              <w:right w:val="single" w:color="000000" w:sz="4" w:space="0"/>
            </w:tcBorders>
            <w:vAlign w:val="center"/>
          </w:tcPr>
          <w:p>
            <w:pPr>
              <w:widowControl/>
              <w:spacing w:line="320" w:lineRule="exact"/>
              <w:rPr>
                <w:rFonts w:ascii="仿宋_GB2312" w:hAnsi="仿宋_GB2312" w:cs="仿宋_GB2312"/>
                <w:kern w:val="0"/>
                <w:sz w:val="24"/>
                <w:szCs w:val="24"/>
              </w:rPr>
            </w:pPr>
            <w:r>
              <w:rPr>
                <w:rFonts w:hint="eastAsia" w:ascii="仿宋_GB2312" w:hAnsi="仿宋_GB2312" w:cs="仿宋_GB2312"/>
                <w:kern w:val="0"/>
                <w:sz w:val="24"/>
                <w:szCs w:val="24"/>
              </w:rPr>
              <w:t>深圳海关</w:t>
            </w:r>
          </w:p>
        </w:tc>
        <w:tc>
          <w:tcPr>
            <w:tcW w:w="849" w:type="dxa"/>
            <w:tcBorders>
              <w:top w:val="nil"/>
              <w:left w:val="nil"/>
              <w:bottom w:val="single" w:color="000000" w:sz="4" w:space="0"/>
              <w:right w:val="single" w:color="000000" w:sz="4" w:space="0"/>
            </w:tcBorders>
            <w:vAlign w:val="center"/>
          </w:tcPr>
          <w:p>
            <w:pPr>
              <w:widowControl/>
              <w:spacing w:line="320" w:lineRule="exact"/>
              <w:rPr>
                <w:rFonts w:ascii="仿宋_GB2312" w:hAnsi="仿宋_GB2312" w:cs="仿宋_GB2312"/>
                <w:kern w:val="0"/>
                <w:sz w:val="24"/>
                <w:szCs w:val="24"/>
              </w:rPr>
            </w:pPr>
            <w:r>
              <w:rPr>
                <w:rFonts w:hint="eastAsia" w:ascii="仿宋_GB2312" w:hAnsi="仿宋_GB2312" w:cs="仿宋_GB2312"/>
                <w:kern w:val="0"/>
                <w:sz w:val="24"/>
                <w:szCs w:val="24"/>
              </w:rPr>
              <w:t>海关特殊监管区域</w:t>
            </w:r>
          </w:p>
        </w:tc>
      </w:tr>
      <w:tr>
        <w:tblPrEx>
          <w:tblCellMar>
            <w:top w:w="0" w:type="dxa"/>
            <w:left w:w="108" w:type="dxa"/>
            <w:bottom w:w="0" w:type="dxa"/>
            <w:right w:w="108" w:type="dxa"/>
          </w:tblCellMar>
        </w:tblPrEx>
        <w:trPr>
          <w:trHeight w:val="90" w:hRule="atLeast"/>
          <w:jc w:val="center"/>
        </w:trPr>
        <w:tc>
          <w:tcPr>
            <w:tcW w:w="456" w:type="dxa"/>
            <w:tcBorders>
              <w:top w:val="nil"/>
              <w:left w:val="single" w:color="000000" w:sz="4" w:space="0"/>
              <w:bottom w:val="single" w:color="000000" w:sz="4" w:space="0"/>
              <w:right w:val="single" w:color="000000" w:sz="4" w:space="0"/>
            </w:tcBorders>
            <w:noWrap/>
            <w:vAlign w:val="center"/>
          </w:tcPr>
          <w:p>
            <w:pPr>
              <w:widowControl/>
              <w:spacing w:line="320" w:lineRule="exact"/>
              <w:jc w:val="center"/>
              <w:rPr>
                <w:rFonts w:ascii="仿宋_GB2312" w:hAnsi="仿宋_GB2312" w:cs="仿宋_GB2312"/>
                <w:kern w:val="0"/>
                <w:sz w:val="24"/>
                <w:szCs w:val="24"/>
              </w:rPr>
            </w:pPr>
            <w:r>
              <w:rPr>
                <w:rFonts w:hint="eastAsia" w:ascii="仿宋_GB2312" w:hAnsi="仿宋_GB2312" w:cs="仿宋_GB2312"/>
                <w:kern w:val="0"/>
                <w:sz w:val="24"/>
                <w:szCs w:val="24"/>
              </w:rPr>
              <w:t>10</w:t>
            </w:r>
          </w:p>
        </w:tc>
        <w:tc>
          <w:tcPr>
            <w:tcW w:w="1240" w:type="dxa"/>
            <w:tcBorders>
              <w:top w:val="nil"/>
              <w:left w:val="nil"/>
              <w:bottom w:val="single" w:color="000000" w:sz="4" w:space="0"/>
              <w:right w:val="single" w:color="000000" w:sz="4" w:space="0"/>
            </w:tcBorders>
            <w:vAlign w:val="center"/>
          </w:tcPr>
          <w:p>
            <w:pPr>
              <w:widowControl/>
              <w:spacing w:line="320" w:lineRule="exact"/>
              <w:rPr>
                <w:rFonts w:ascii="仿宋_GB2312" w:hAnsi="仿宋_GB2312" w:cs="仿宋_GB2312"/>
                <w:kern w:val="0"/>
                <w:sz w:val="24"/>
                <w:szCs w:val="24"/>
              </w:rPr>
            </w:pPr>
            <w:r>
              <w:rPr>
                <w:rFonts w:hint="eastAsia" w:ascii="仿宋_GB2312" w:hAnsi="仿宋_GB2312" w:cs="仿宋_GB2312"/>
                <w:kern w:val="0"/>
                <w:sz w:val="24"/>
                <w:szCs w:val="24"/>
              </w:rPr>
              <w:t>基于“物联网、大数据和人工智能与区块链融合”应用的供应链管理创新</w:t>
            </w:r>
          </w:p>
        </w:tc>
        <w:tc>
          <w:tcPr>
            <w:tcW w:w="5954" w:type="dxa"/>
            <w:tcBorders>
              <w:top w:val="nil"/>
              <w:left w:val="nil"/>
              <w:bottom w:val="single" w:color="000000" w:sz="4" w:space="0"/>
              <w:right w:val="single" w:color="000000" w:sz="4" w:space="0"/>
            </w:tcBorders>
            <w:vAlign w:val="center"/>
          </w:tcPr>
          <w:p>
            <w:pPr>
              <w:widowControl/>
              <w:spacing w:line="320" w:lineRule="exact"/>
              <w:rPr>
                <w:rFonts w:ascii="仿宋_GB2312" w:hAnsi="仿宋_GB2312" w:cs="仿宋_GB2312"/>
                <w:kern w:val="0"/>
                <w:sz w:val="24"/>
                <w:szCs w:val="24"/>
              </w:rPr>
            </w:pPr>
            <w:r>
              <w:rPr>
                <w:rFonts w:hint="eastAsia" w:ascii="仿宋_GB2312" w:hAnsi="仿宋_GB2312" w:cs="仿宋_GB2312"/>
                <w:kern w:val="0"/>
                <w:sz w:val="24"/>
                <w:szCs w:val="24"/>
              </w:rPr>
              <w:t>通过“仓单系统优化”实现指定交收仓库的现场管理规范化，为市场主体提供电子化管理平台及可视化监控界面。物联网改造仓库实现仓储数据、仓单数据与物联网监控数据实时对应交互及货物非法移动报警、库位非法入侵监控报警等功能。搭建大宗商品仓单场景的区块链技术平台，设置交易中心、银行、保险公司、交易商、仓储等节点，以仓单的货物信息、物联网信息、交易信息、保险信息、融资信息等为基础，构建区块链上的仓单信息统一账本。</w:t>
            </w:r>
          </w:p>
        </w:tc>
        <w:tc>
          <w:tcPr>
            <w:tcW w:w="979" w:type="dxa"/>
            <w:tcBorders>
              <w:top w:val="nil"/>
              <w:left w:val="nil"/>
              <w:bottom w:val="single" w:color="000000" w:sz="4" w:space="0"/>
              <w:right w:val="single" w:color="000000" w:sz="4" w:space="0"/>
            </w:tcBorders>
            <w:vAlign w:val="center"/>
          </w:tcPr>
          <w:p>
            <w:pPr>
              <w:widowControl/>
              <w:spacing w:line="320" w:lineRule="exact"/>
              <w:rPr>
                <w:rFonts w:ascii="仿宋_GB2312" w:hAnsi="仿宋_GB2312" w:cs="仿宋_GB2312"/>
                <w:kern w:val="0"/>
                <w:sz w:val="24"/>
                <w:szCs w:val="24"/>
              </w:rPr>
            </w:pPr>
            <w:r>
              <w:rPr>
                <w:rFonts w:hint="eastAsia" w:ascii="仿宋_GB2312" w:hAnsi="仿宋_GB2312" w:cs="仿宋_GB2312"/>
                <w:kern w:val="0"/>
                <w:sz w:val="24"/>
                <w:szCs w:val="24"/>
              </w:rPr>
              <w:t>各企业</w:t>
            </w:r>
          </w:p>
        </w:tc>
        <w:tc>
          <w:tcPr>
            <w:tcW w:w="849" w:type="dxa"/>
            <w:tcBorders>
              <w:top w:val="nil"/>
              <w:left w:val="nil"/>
              <w:bottom w:val="single" w:color="000000" w:sz="4" w:space="0"/>
              <w:right w:val="single" w:color="000000" w:sz="4" w:space="0"/>
            </w:tcBorders>
            <w:vAlign w:val="center"/>
          </w:tcPr>
          <w:p>
            <w:pPr>
              <w:widowControl/>
              <w:spacing w:line="320" w:lineRule="exact"/>
              <w:rPr>
                <w:rFonts w:ascii="仿宋_GB2312" w:hAnsi="仿宋_GB2312" w:cs="仿宋_GB2312"/>
                <w:kern w:val="0"/>
                <w:sz w:val="24"/>
                <w:szCs w:val="24"/>
              </w:rPr>
            </w:pPr>
            <w:r>
              <w:rPr>
                <w:rFonts w:hint="eastAsia" w:ascii="仿宋_GB2312" w:hAnsi="仿宋_GB2312" w:cs="仿宋_GB2312"/>
                <w:kern w:val="0"/>
                <w:sz w:val="24"/>
                <w:szCs w:val="24"/>
              </w:rPr>
              <w:t>全市</w:t>
            </w:r>
          </w:p>
        </w:tc>
      </w:tr>
      <w:tr>
        <w:tblPrEx>
          <w:tblCellMar>
            <w:top w:w="0" w:type="dxa"/>
            <w:left w:w="108" w:type="dxa"/>
            <w:bottom w:w="0" w:type="dxa"/>
            <w:right w:w="108" w:type="dxa"/>
          </w:tblCellMar>
        </w:tblPrEx>
        <w:trPr>
          <w:trHeight w:val="2646" w:hRule="atLeast"/>
          <w:jc w:val="center"/>
        </w:trPr>
        <w:tc>
          <w:tcPr>
            <w:tcW w:w="456" w:type="dxa"/>
            <w:tcBorders>
              <w:top w:val="nil"/>
              <w:left w:val="single" w:color="000000" w:sz="4" w:space="0"/>
              <w:bottom w:val="single" w:color="000000" w:sz="4" w:space="0"/>
              <w:right w:val="single" w:color="000000" w:sz="4" w:space="0"/>
            </w:tcBorders>
            <w:noWrap/>
            <w:vAlign w:val="center"/>
          </w:tcPr>
          <w:p>
            <w:pPr>
              <w:widowControl/>
              <w:spacing w:line="320" w:lineRule="exact"/>
              <w:jc w:val="center"/>
              <w:rPr>
                <w:rFonts w:ascii="仿宋_GB2312" w:hAnsi="仿宋_GB2312" w:cs="仿宋_GB2312"/>
                <w:kern w:val="0"/>
                <w:sz w:val="24"/>
                <w:szCs w:val="24"/>
              </w:rPr>
            </w:pPr>
            <w:r>
              <w:rPr>
                <w:rFonts w:hint="eastAsia" w:ascii="仿宋_GB2312" w:hAnsi="仿宋_GB2312" w:cs="仿宋_GB2312"/>
                <w:kern w:val="0"/>
                <w:sz w:val="24"/>
                <w:szCs w:val="24"/>
              </w:rPr>
              <w:t>11</w:t>
            </w:r>
          </w:p>
        </w:tc>
        <w:tc>
          <w:tcPr>
            <w:tcW w:w="1240" w:type="dxa"/>
            <w:tcBorders>
              <w:top w:val="nil"/>
              <w:left w:val="nil"/>
              <w:bottom w:val="single" w:color="000000" w:sz="4" w:space="0"/>
              <w:right w:val="single" w:color="000000" w:sz="4" w:space="0"/>
            </w:tcBorders>
            <w:vAlign w:val="center"/>
          </w:tcPr>
          <w:p>
            <w:pPr>
              <w:widowControl/>
              <w:spacing w:line="320" w:lineRule="exact"/>
              <w:rPr>
                <w:rFonts w:ascii="仿宋_GB2312" w:hAnsi="仿宋_GB2312" w:cs="仿宋_GB2312"/>
                <w:kern w:val="0"/>
                <w:sz w:val="24"/>
                <w:szCs w:val="24"/>
              </w:rPr>
            </w:pPr>
            <w:r>
              <w:rPr>
                <w:rFonts w:hint="eastAsia" w:ascii="仿宋_GB2312" w:hAnsi="仿宋_GB2312" w:cs="仿宋_GB2312"/>
                <w:kern w:val="0"/>
                <w:sz w:val="24"/>
                <w:szCs w:val="24"/>
              </w:rPr>
              <w:t>3N模式集合保理资产ABS</w:t>
            </w:r>
          </w:p>
        </w:tc>
        <w:tc>
          <w:tcPr>
            <w:tcW w:w="5954" w:type="dxa"/>
            <w:tcBorders>
              <w:top w:val="nil"/>
              <w:left w:val="nil"/>
              <w:bottom w:val="single" w:color="000000" w:sz="4" w:space="0"/>
              <w:right w:val="single" w:color="000000" w:sz="4" w:space="0"/>
            </w:tcBorders>
            <w:vAlign w:val="center"/>
          </w:tcPr>
          <w:p>
            <w:pPr>
              <w:widowControl/>
              <w:spacing w:line="320" w:lineRule="exact"/>
              <w:rPr>
                <w:rFonts w:ascii="仿宋_GB2312" w:hAnsi="仿宋_GB2312" w:cs="仿宋_GB2312"/>
                <w:kern w:val="0"/>
                <w:sz w:val="24"/>
                <w:szCs w:val="24"/>
              </w:rPr>
            </w:pPr>
            <w:r>
              <w:rPr>
                <w:rFonts w:hint="eastAsia" w:ascii="仿宋_GB2312" w:hAnsi="仿宋_GB2312" w:cs="仿宋_GB2312"/>
                <w:kern w:val="0"/>
                <w:sz w:val="24"/>
                <w:szCs w:val="24"/>
              </w:rPr>
              <w:t>构建全流程区块链应用的贸易背景审核机制，围绕3N集合保理ABS的业务场景与特点，对各参与方资产的所有操作都纳入区块链。由数据所有方自主加密上传，在保障隐私的前提下将特定字段密文的查看权限授予第三方。在信用评级的基础上，引入国际知名评级机构，共建独特的企业债项评级模型，以预期损失为评价维度，构建基于主体风险评级与债项风险评级的二维评价体系，为中小企业融资提供信用风险公允评定信息。</w:t>
            </w:r>
          </w:p>
        </w:tc>
        <w:tc>
          <w:tcPr>
            <w:tcW w:w="979" w:type="dxa"/>
            <w:tcBorders>
              <w:top w:val="nil"/>
              <w:left w:val="nil"/>
              <w:bottom w:val="single" w:color="000000" w:sz="4" w:space="0"/>
              <w:right w:val="single" w:color="000000" w:sz="4" w:space="0"/>
            </w:tcBorders>
            <w:vAlign w:val="center"/>
          </w:tcPr>
          <w:p>
            <w:pPr>
              <w:widowControl/>
              <w:spacing w:line="320" w:lineRule="exact"/>
              <w:rPr>
                <w:rFonts w:ascii="仿宋_GB2312" w:hAnsi="仿宋_GB2312" w:cs="仿宋_GB2312"/>
                <w:kern w:val="0"/>
                <w:sz w:val="24"/>
                <w:szCs w:val="24"/>
              </w:rPr>
            </w:pPr>
            <w:r>
              <w:rPr>
                <w:rFonts w:hint="eastAsia" w:ascii="仿宋_GB2312" w:hAnsi="仿宋_GB2312" w:cs="仿宋_GB2312"/>
                <w:kern w:val="0"/>
                <w:sz w:val="24"/>
                <w:szCs w:val="24"/>
              </w:rPr>
              <w:t>各企业</w:t>
            </w:r>
          </w:p>
        </w:tc>
        <w:tc>
          <w:tcPr>
            <w:tcW w:w="849" w:type="dxa"/>
            <w:tcBorders>
              <w:top w:val="nil"/>
              <w:left w:val="nil"/>
              <w:bottom w:val="single" w:color="000000" w:sz="4" w:space="0"/>
              <w:right w:val="single" w:color="000000" w:sz="4" w:space="0"/>
            </w:tcBorders>
            <w:vAlign w:val="center"/>
          </w:tcPr>
          <w:p>
            <w:pPr>
              <w:widowControl/>
              <w:spacing w:line="320" w:lineRule="exact"/>
              <w:rPr>
                <w:rFonts w:ascii="仿宋_GB2312" w:hAnsi="仿宋_GB2312" w:cs="仿宋_GB2312"/>
                <w:kern w:val="0"/>
                <w:sz w:val="24"/>
                <w:szCs w:val="24"/>
              </w:rPr>
            </w:pPr>
            <w:r>
              <w:rPr>
                <w:rFonts w:hint="eastAsia" w:ascii="仿宋_GB2312" w:hAnsi="仿宋_GB2312" w:cs="仿宋_GB2312"/>
                <w:kern w:val="0"/>
                <w:sz w:val="24"/>
                <w:szCs w:val="24"/>
              </w:rPr>
              <w:t>全市</w:t>
            </w:r>
          </w:p>
        </w:tc>
      </w:tr>
      <w:tr>
        <w:tblPrEx>
          <w:tblCellMar>
            <w:top w:w="0" w:type="dxa"/>
            <w:left w:w="108" w:type="dxa"/>
            <w:bottom w:w="0" w:type="dxa"/>
            <w:right w:w="108" w:type="dxa"/>
          </w:tblCellMar>
        </w:tblPrEx>
        <w:trPr>
          <w:trHeight w:val="2700" w:hRule="atLeast"/>
          <w:jc w:val="center"/>
        </w:trPr>
        <w:tc>
          <w:tcPr>
            <w:tcW w:w="456" w:type="dxa"/>
            <w:tcBorders>
              <w:top w:val="nil"/>
              <w:left w:val="single" w:color="000000" w:sz="4" w:space="0"/>
              <w:bottom w:val="single" w:color="000000" w:sz="4" w:space="0"/>
              <w:right w:val="single" w:color="000000" w:sz="4" w:space="0"/>
            </w:tcBorders>
            <w:noWrap/>
            <w:vAlign w:val="center"/>
          </w:tcPr>
          <w:p>
            <w:pPr>
              <w:widowControl/>
              <w:spacing w:line="320" w:lineRule="exact"/>
              <w:jc w:val="center"/>
              <w:rPr>
                <w:rFonts w:ascii="仿宋_GB2312" w:hAnsi="仿宋_GB2312" w:cs="仿宋_GB2312"/>
                <w:kern w:val="0"/>
                <w:sz w:val="24"/>
                <w:szCs w:val="24"/>
              </w:rPr>
            </w:pPr>
            <w:r>
              <w:rPr>
                <w:rFonts w:hint="eastAsia" w:ascii="仿宋_GB2312" w:hAnsi="仿宋_GB2312" w:cs="仿宋_GB2312"/>
                <w:kern w:val="0"/>
                <w:sz w:val="24"/>
                <w:szCs w:val="24"/>
              </w:rPr>
              <w:t>12</w:t>
            </w:r>
          </w:p>
        </w:tc>
        <w:tc>
          <w:tcPr>
            <w:tcW w:w="1240" w:type="dxa"/>
            <w:tcBorders>
              <w:top w:val="nil"/>
              <w:left w:val="nil"/>
              <w:bottom w:val="single" w:color="000000" w:sz="4" w:space="0"/>
              <w:right w:val="single" w:color="000000" w:sz="4" w:space="0"/>
            </w:tcBorders>
            <w:vAlign w:val="center"/>
          </w:tcPr>
          <w:p>
            <w:pPr>
              <w:widowControl/>
              <w:spacing w:line="320" w:lineRule="exact"/>
              <w:rPr>
                <w:rFonts w:ascii="仿宋_GB2312" w:hAnsi="仿宋_GB2312" w:cs="仿宋_GB2312"/>
                <w:kern w:val="0"/>
                <w:sz w:val="24"/>
                <w:szCs w:val="24"/>
              </w:rPr>
            </w:pPr>
            <w:r>
              <w:rPr>
                <w:rFonts w:hint="eastAsia" w:ascii="仿宋_GB2312" w:hAnsi="仿宋_GB2312" w:cs="仿宋_GB2312"/>
                <w:kern w:val="0"/>
                <w:sz w:val="24"/>
                <w:szCs w:val="24"/>
              </w:rPr>
              <w:t>全流程信息化保税园区管理模式</w:t>
            </w:r>
          </w:p>
        </w:tc>
        <w:tc>
          <w:tcPr>
            <w:tcW w:w="5954" w:type="dxa"/>
            <w:tcBorders>
              <w:top w:val="nil"/>
              <w:left w:val="nil"/>
              <w:bottom w:val="single" w:color="000000" w:sz="4" w:space="0"/>
              <w:right w:val="single" w:color="000000" w:sz="4" w:space="0"/>
            </w:tcBorders>
            <w:vAlign w:val="center"/>
          </w:tcPr>
          <w:p>
            <w:pPr>
              <w:widowControl/>
              <w:spacing w:line="320" w:lineRule="exact"/>
              <w:rPr>
                <w:rFonts w:ascii="仿宋_GB2312" w:hAnsi="仿宋_GB2312" w:cs="仿宋_GB2312"/>
                <w:kern w:val="0"/>
                <w:sz w:val="24"/>
                <w:szCs w:val="24"/>
              </w:rPr>
            </w:pPr>
            <w:r>
              <w:rPr>
                <w:rFonts w:hint="eastAsia" w:ascii="仿宋_GB2312" w:hAnsi="仿宋_GB2312" w:cs="仿宋_GB2312"/>
                <w:kern w:val="0"/>
                <w:sz w:val="24"/>
                <w:szCs w:val="24"/>
              </w:rPr>
              <w:t>建立基于云平台微服务架构的统一的技术平台、门户、数据标准、数据库、用户权限、数据接口和数据交换中心等。建立流程引擎和自定义电子业务流程。在综合服务平台通关管理模块上内嵌国家单一窗口系统。应用物联网技术建设区内区外无人值守地磅系统，按车牌信息自动化完成地磅称重、车牌识别、自动匹配平台称重单等，地磅自助终端将称重信息实时打印给司机并上传综合服务平台供客户调用，实现24小时服务园区客户。</w:t>
            </w:r>
          </w:p>
        </w:tc>
        <w:tc>
          <w:tcPr>
            <w:tcW w:w="979" w:type="dxa"/>
            <w:tcBorders>
              <w:top w:val="nil"/>
              <w:left w:val="nil"/>
              <w:bottom w:val="single" w:color="000000" w:sz="4" w:space="0"/>
              <w:right w:val="single" w:color="000000" w:sz="4" w:space="0"/>
            </w:tcBorders>
            <w:vAlign w:val="center"/>
          </w:tcPr>
          <w:p>
            <w:pPr>
              <w:widowControl/>
              <w:spacing w:line="320" w:lineRule="exact"/>
              <w:rPr>
                <w:rFonts w:ascii="仿宋_GB2312" w:hAnsi="仿宋_GB2312" w:cs="仿宋_GB2312"/>
                <w:kern w:val="0"/>
                <w:sz w:val="24"/>
                <w:szCs w:val="24"/>
              </w:rPr>
            </w:pPr>
            <w:r>
              <w:rPr>
                <w:rFonts w:hint="eastAsia" w:ascii="仿宋_GB2312" w:hAnsi="仿宋_GB2312" w:cs="仿宋_GB2312"/>
                <w:kern w:val="0"/>
                <w:sz w:val="24"/>
                <w:szCs w:val="24"/>
              </w:rPr>
              <w:t>各企业</w:t>
            </w:r>
          </w:p>
        </w:tc>
        <w:tc>
          <w:tcPr>
            <w:tcW w:w="849" w:type="dxa"/>
            <w:tcBorders>
              <w:top w:val="nil"/>
              <w:left w:val="nil"/>
              <w:bottom w:val="single" w:color="000000" w:sz="4" w:space="0"/>
              <w:right w:val="single" w:color="000000" w:sz="4" w:space="0"/>
            </w:tcBorders>
            <w:vAlign w:val="center"/>
          </w:tcPr>
          <w:p>
            <w:pPr>
              <w:widowControl/>
              <w:spacing w:line="320" w:lineRule="exact"/>
              <w:rPr>
                <w:rFonts w:ascii="仿宋_GB2312" w:hAnsi="仿宋_GB2312" w:cs="仿宋_GB2312"/>
                <w:kern w:val="0"/>
                <w:sz w:val="24"/>
                <w:szCs w:val="24"/>
              </w:rPr>
            </w:pPr>
            <w:r>
              <w:rPr>
                <w:rFonts w:hint="eastAsia" w:ascii="仿宋_GB2312" w:hAnsi="仿宋_GB2312" w:cs="仿宋_GB2312"/>
                <w:kern w:val="0"/>
                <w:sz w:val="24"/>
                <w:szCs w:val="24"/>
              </w:rPr>
              <w:t>全市</w:t>
            </w:r>
          </w:p>
        </w:tc>
      </w:tr>
      <w:tr>
        <w:tblPrEx>
          <w:tblCellMar>
            <w:top w:w="0" w:type="dxa"/>
            <w:left w:w="108" w:type="dxa"/>
            <w:bottom w:w="0" w:type="dxa"/>
            <w:right w:w="108" w:type="dxa"/>
          </w:tblCellMar>
        </w:tblPrEx>
        <w:trPr>
          <w:trHeight w:val="320" w:hRule="atLeast"/>
          <w:jc w:val="center"/>
        </w:trPr>
        <w:tc>
          <w:tcPr>
            <w:tcW w:w="9478" w:type="dxa"/>
            <w:gridSpan w:val="5"/>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left"/>
              <w:rPr>
                <w:rFonts w:ascii="仿宋_GB2312" w:hAnsi="仿宋_GB2312" w:cs="仿宋_GB2312"/>
                <w:kern w:val="0"/>
                <w:sz w:val="24"/>
                <w:szCs w:val="24"/>
              </w:rPr>
            </w:pPr>
            <w:r>
              <w:rPr>
                <w:rFonts w:hint="eastAsia" w:ascii="仿宋_GB2312" w:hAnsi="仿宋_GB2312" w:cs="仿宋_GB2312"/>
                <w:kern w:val="0"/>
                <w:sz w:val="24"/>
                <w:szCs w:val="24"/>
              </w:rPr>
              <w:t>三、金融开放创新（5项）</w:t>
            </w:r>
          </w:p>
        </w:tc>
      </w:tr>
      <w:tr>
        <w:tblPrEx>
          <w:tblCellMar>
            <w:top w:w="0" w:type="dxa"/>
            <w:left w:w="108" w:type="dxa"/>
            <w:bottom w:w="0" w:type="dxa"/>
            <w:right w:w="108" w:type="dxa"/>
          </w:tblCellMar>
        </w:tblPrEx>
        <w:trPr>
          <w:trHeight w:val="2855" w:hRule="atLeast"/>
          <w:jc w:val="center"/>
        </w:trPr>
        <w:tc>
          <w:tcPr>
            <w:tcW w:w="456" w:type="dxa"/>
            <w:tcBorders>
              <w:top w:val="nil"/>
              <w:left w:val="single" w:color="000000" w:sz="4" w:space="0"/>
              <w:bottom w:val="single" w:color="000000" w:sz="4" w:space="0"/>
              <w:right w:val="single" w:color="000000" w:sz="4" w:space="0"/>
            </w:tcBorders>
            <w:noWrap/>
            <w:vAlign w:val="center"/>
          </w:tcPr>
          <w:p>
            <w:pPr>
              <w:widowControl/>
              <w:spacing w:line="360" w:lineRule="exact"/>
              <w:rPr>
                <w:rFonts w:ascii="仿宋_GB2312" w:hAnsi="仿宋_GB2312" w:cs="仿宋_GB2312"/>
                <w:kern w:val="0"/>
                <w:sz w:val="24"/>
                <w:szCs w:val="24"/>
              </w:rPr>
            </w:pPr>
            <w:r>
              <w:rPr>
                <w:rFonts w:hint="eastAsia" w:ascii="仿宋_GB2312" w:hAnsi="仿宋_GB2312" w:cs="仿宋_GB2312"/>
                <w:kern w:val="0"/>
                <w:sz w:val="24"/>
                <w:szCs w:val="24"/>
              </w:rPr>
              <w:t>13</w:t>
            </w:r>
          </w:p>
        </w:tc>
        <w:tc>
          <w:tcPr>
            <w:tcW w:w="1240" w:type="dxa"/>
            <w:tcBorders>
              <w:top w:val="nil"/>
              <w:left w:val="nil"/>
              <w:bottom w:val="single" w:color="000000" w:sz="4" w:space="0"/>
              <w:right w:val="single" w:color="000000" w:sz="4" w:space="0"/>
            </w:tcBorders>
            <w:vAlign w:val="center"/>
          </w:tcPr>
          <w:p>
            <w:pPr>
              <w:widowControl/>
              <w:spacing w:line="360" w:lineRule="exact"/>
              <w:rPr>
                <w:rFonts w:ascii="仿宋_GB2312" w:hAnsi="仿宋_GB2312" w:cs="仿宋_GB2312"/>
                <w:kern w:val="0"/>
                <w:sz w:val="24"/>
                <w:szCs w:val="24"/>
              </w:rPr>
            </w:pPr>
            <w:r>
              <w:rPr>
                <w:rFonts w:hint="eastAsia" w:ascii="仿宋_GB2312" w:hAnsi="仿宋_GB2312" w:cs="仿宋_GB2312"/>
                <w:kern w:val="0"/>
                <w:sz w:val="24"/>
                <w:szCs w:val="24"/>
              </w:rPr>
              <w:t>全线上信用类“支小再贷款”</w:t>
            </w:r>
          </w:p>
        </w:tc>
        <w:tc>
          <w:tcPr>
            <w:tcW w:w="5954" w:type="dxa"/>
            <w:tcBorders>
              <w:top w:val="nil"/>
              <w:left w:val="nil"/>
              <w:bottom w:val="single" w:color="000000" w:sz="4" w:space="0"/>
              <w:right w:val="single" w:color="000000" w:sz="4" w:space="0"/>
            </w:tcBorders>
            <w:vAlign w:val="center"/>
          </w:tcPr>
          <w:p>
            <w:pPr>
              <w:widowControl/>
              <w:spacing w:line="360" w:lineRule="exact"/>
              <w:rPr>
                <w:rFonts w:ascii="仿宋_GB2312" w:hAnsi="仿宋_GB2312" w:cs="仿宋_GB2312"/>
                <w:kern w:val="0"/>
                <w:sz w:val="24"/>
                <w:szCs w:val="24"/>
              </w:rPr>
            </w:pPr>
            <w:r>
              <w:rPr>
                <w:rFonts w:hint="eastAsia" w:ascii="仿宋_GB2312" w:hAnsi="仿宋_GB2312" w:cs="仿宋_GB2312"/>
                <w:kern w:val="0"/>
                <w:sz w:val="24"/>
                <w:szCs w:val="24"/>
              </w:rPr>
              <w:t>在人民银行关于增加专项再贷款、再贴现5000亿元措施出台后，制定相应的“支小再贷款”投放计划，贷款利率在政策要求低于“LPR+50BP”的基础上进一步降低。以企业及个人征信、工商、税务、电力等可信数据为原材料，以10万+的衍生变量、300+的子模型为基础，构建企业与企业法人双主体信用评价与贷款全流程风险管理体系。小微企业通过微信公众号即可申请银行的贷款，有效降低客户实际融资成本。</w:t>
            </w:r>
          </w:p>
        </w:tc>
        <w:tc>
          <w:tcPr>
            <w:tcW w:w="979" w:type="dxa"/>
            <w:tcBorders>
              <w:top w:val="nil"/>
              <w:left w:val="nil"/>
              <w:bottom w:val="single" w:color="000000" w:sz="4" w:space="0"/>
              <w:right w:val="single" w:color="000000" w:sz="4" w:space="0"/>
            </w:tcBorders>
            <w:vAlign w:val="center"/>
          </w:tcPr>
          <w:p>
            <w:pPr>
              <w:widowControl/>
              <w:spacing w:line="360" w:lineRule="exact"/>
              <w:rPr>
                <w:rFonts w:ascii="仿宋_GB2312" w:hAnsi="仿宋_GB2312" w:cs="仿宋_GB2312"/>
                <w:kern w:val="0"/>
                <w:sz w:val="24"/>
                <w:szCs w:val="24"/>
              </w:rPr>
            </w:pPr>
            <w:r>
              <w:rPr>
                <w:rFonts w:hint="eastAsia" w:ascii="仿宋_GB2312" w:hAnsi="仿宋_GB2312" w:cs="仿宋_GB2312"/>
                <w:kern w:val="0"/>
                <w:sz w:val="24"/>
                <w:szCs w:val="24"/>
              </w:rPr>
              <w:t>各企业</w:t>
            </w:r>
          </w:p>
        </w:tc>
        <w:tc>
          <w:tcPr>
            <w:tcW w:w="849" w:type="dxa"/>
            <w:tcBorders>
              <w:top w:val="nil"/>
              <w:left w:val="nil"/>
              <w:bottom w:val="single" w:color="000000" w:sz="4" w:space="0"/>
              <w:right w:val="single" w:color="000000" w:sz="4" w:space="0"/>
            </w:tcBorders>
            <w:vAlign w:val="center"/>
          </w:tcPr>
          <w:p>
            <w:pPr>
              <w:widowControl/>
              <w:spacing w:line="360" w:lineRule="exact"/>
              <w:rPr>
                <w:rFonts w:ascii="仿宋_GB2312" w:hAnsi="仿宋_GB2312" w:cs="仿宋_GB2312"/>
                <w:kern w:val="0"/>
                <w:sz w:val="24"/>
                <w:szCs w:val="24"/>
              </w:rPr>
            </w:pPr>
            <w:r>
              <w:rPr>
                <w:rFonts w:hint="eastAsia" w:ascii="仿宋_GB2312" w:hAnsi="仿宋_GB2312" w:cs="仿宋_GB2312"/>
                <w:kern w:val="0"/>
                <w:sz w:val="24"/>
                <w:szCs w:val="24"/>
              </w:rPr>
              <w:t>全市</w:t>
            </w:r>
          </w:p>
        </w:tc>
      </w:tr>
      <w:tr>
        <w:tblPrEx>
          <w:tblCellMar>
            <w:top w:w="0" w:type="dxa"/>
            <w:left w:w="108" w:type="dxa"/>
            <w:bottom w:w="0" w:type="dxa"/>
            <w:right w:w="108" w:type="dxa"/>
          </w:tblCellMar>
        </w:tblPrEx>
        <w:trPr>
          <w:trHeight w:val="2009" w:hRule="atLeast"/>
          <w:jc w:val="center"/>
        </w:trPr>
        <w:tc>
          <w:tcPr>
            <w:tcW w:w="456" w:type="dxa"/>
            <w:tcBorders>
              <w:top w:val="nil"/>
              <w:left w:val="single" w:color="000000" w:sz="4" w:space="0"/>
              <w:bottom w:val="single" w:color="000000" w:sz="4" w:space="0"/>
              <w:right w:val="single" w:color="000000" w:sz="4" w:space="0"/>
            </w:tcBorders>
            <w:noWrap/>
            <w:vAlign w:val="center"/>
          </w:tcPr>
          <w:p>
            <w:pPr>
              <w:widowControl/>
              <w:spacing w:line="360" w:lineRule="exact"/>
              <w:rPr>
                <w:rFonts w:ascii="仿宋_GB2312" w:hAnsi="仿宋_GB2312" w:cs="仿宋_GB2312"/>
                <w:kern w:val="0"/>
                <w:sz w:val="24"/>
                <w:szCs w:val="24"/>
              </w:rPr>
            </w:pPr>
            <w:r>
              <w:rPr>
                <w:rFonts w:hint="eastAsia" w:ascii="仿宋_GB2312" w:hAnsi="仿宋_GB2312" w:cs="仿宋_GB2312"/>
                <w:kern w:val="0"/>
                <w:sz w:val="24"/>
                <w:szCs w:val="24"/>
              </w:rPr>
              <w:t>14</w:t>
            </w:r>
          </w:p>
        </w:tc>
        <w:tc>
          <w:tcPr>
            <w:tcW w:w="1240" w:type="dxa"/>
            <w:tcBorders>
              <w:top w:val="nil"/>
              <w:left w:val="nil"/>
              <w:bottom w:val="single" w:color="000000" w:sz="4" w:space="0"/>
              <w:right w:val="single" w:color="000000" w:sz="4" w:space="0"/>
            </w:tcBorders>
            <w:vAlign w:val="center"/>
          </w:tcPr>
          <w:p>
            <w:pPr>
              <w:widowControl/>
              <w:spacing w:line="360" w:lineRule="exact"/>
              <w:rPr>
                <w:rFonts w:ascii="仿宋_GB2312" w:hAnsi="仿宋_GB2312" w:cs="仿宋_GB2312"/>
                <w:kern w:val="0"/>
                <w:sz w:val="24"/>
                <w:szCs w:val="24"/>
              </w:rPr>
            </w:pPr>
            <w:r>
              <w:rPr>
                <w:rFonts w:hint="eastAsia" w:ascii="仿宋_GB2312" w:hAnsi="仿宋_GB2312" w:cs="仿宋_GB2312"/>
                <w:kern w:val="0"/>
                <w:sz w:val="24"/>
                <w:szCs w:val="24"/>
              </w:rPr>
              <w:t>基于AI和卫星数据的疫情下宏观经济监测平台</w:t>
            </w:r>
          </w:p>
        </w:tc>
        <w:tc>
          <w:tcPr>
            <w:tcW w:w="5954" w:type="dxa"/>
            <w:tcBorders>
              <w:top w:val="nil"/>
              <w:left w:val="nil"/>
              <w:bottom w:val="single" w:color="000000" w:sz="4" w:space="0"/>
              <w:right w:val="single" w:color="000000" w:sz="4" w:space="0"/>
            </w:tcBorders>
            <w:vAlign w:val="center"/>
          </w:tcPr>
          <w:p>
            <w:pPr>
              <w:widowControl/>
              <w:spacing w:line="360" w:lineRule="exact"/>
              <w:rPr>
                <w:rFonts w:ascii="仿宋_GB2312" w:hAnsi="仿宋_GB2312" w:cs="仿宋_GB2312"/>
                <w:kern w:val="0"/>
                <w:sz w:val="24"/>
                <w:szCs w:val="24"/>
              </w:rPr>
            </w:pPr>
            <w:r>
              <w:rPr>
                <w:rFonts w:hint="eastAsia" w:ascii="仿宋_GB2312" w:hAnsi="仿宋_GB2312" w:cs="仿宋_GB2312"/>
                <w:kern w:val="0"/>
                <w:sz w:val="24"/>
                <w:szCs w:val="24"/>
              </w:rPr>
              <w:t>针对宏观经济监测卡脖子的数据获取和分析难题，构建基于AI和卫星数据的疫情下宏观经济监测平台。平台基于人工智能技术和遥感影像，发挥遥感对地观测技术的宏观、动态、快速、准确及可持续采集等优势，进行有效的数据挖掘、分析、预测，实现对全国、区域及行业的分层分析，有效填补数据缺陷。</w:t>
            </w:r>
          </w:p>
        </w:tc>
        <w:tc>
          <w:tcPr>
            <w:tcW w:w="979" w:type="dxa"/>
            <w:tcBorders>
              <w:top w:val="nil"/>
              <w:left w:val="nil"/>
              <w:bottom w:val="single" w:color="000000" w:sz="4" w:space="0"/>
              <w:right w:val="single" w:color="000000" w:sz="4" w:space="0"/>
            </w:tcBorders>
            <w:vAlign w:val="center"/>
          </w:tcPr>
          <w:p>
            <w:pPr>
              <w:widowControl/>
              <w:spacing w:line="360" w:lineRule="exact"/>
              <w:rPr>
                <w:rFonts w:ascii="仿宋_GB2312" w:hAnsi="仿宋_GB2312" w:cs="仿宋_GB2312"/>
                <w:kern w:val="0"/>
                <w:sz w:val="24"/>
                <w:szCs w:val="24"/>
              </w:rPr>
            </w:pPr>
            <w:r>
              <w:rPr>
                <w:rFonts w:hint="eastAsia" w:ascii="仿宋_GB2312" w:hAnsi="仿宋_GB2312" w:cs="仿宋_GB2312"/>
                <w:kern w:val="0"/>
                <w:sz w:val="24"/>
                <w:szCs w:val="24"/>
              </w:rPr>
              <w:t>各企业</w:t>
            </w:r>
          </w:p>
        </w:tc>
        <w:tc>
          <w:tcPr>
            <w:tcW w:w="849" w:type="dxa"/>
            <w:tcBorders>
              <w:top w:val="nil"/>
              <w:left w:val="nil"/>
              <w:bottom w:val="single" w:color="000000" w:sz="4" w:space="0"/>
              <w:right w:val="single" w:color="000000" w:sz="4" w:space="0"/>
            </w:tcBorders>
            <w:vAlign w:val="center"/>
          </w:tcPr>
          <w:p>
            <w:pPr>
              <w:widowControl/>
              <w:spacing w:line="360" w:lineRule="exact"/>
              <w:rPr>
                <w:rFonts w:ascii="仿宋_GB2312" w:hAnsi="仿宋_GB2312" w:cs="仿宋_GB2312"/>
                <w:kern w:val="0"/>
                <w:sz w:val="24"/>
                <w:szCs w:val="24"/>
              </w:rPr>
            </w:pPr>
            <w:r>
              <w:rPr>
                <w:rFonts w:hint="eastAsia" w:ascii="仿宋_GB2312" w:hAnsi="仿宋_GB2312" w:cs="仿宋_GB2312"/>
                <w:kern w:val="0"/>
                <w:sz w:val="24"/>
                <w:szCs w:val="24"/>
              </w:rPr>
              <w:t>全市</w:t>
            </w:r>
          </w:p>
        </w:tc>
      </w:tr>
      <w:tr>
        <w:tblPrEx>
          <w:tblCellMar>
            <w:top w:w="0" w:type="dxa"/>
            <w:left w:w="108" w:type="dxa"/>
            <w:bottom w:w="0" w:type="dxa"/>
            <w:right w:w="108" w:type="dxa"/>
          </w:tblCellMar>
        </w:tblPrEx>
        <w:trPr>
          <w:trHeight w:val="3005" w:hRule="atLeast"/>
          <w:jc w:val="center"/>
        </w:trPr>
        <w:tc>
          <w:tcPr>
            <w:tcW w:w="456" w:type="dxa"/>
            <w:tcBorders>
              <w:top w:val="nil"/>
              <w:left w:val="single" w:color="000000" w:sz="4" w:space="0"/>
              <w:bottom w:val="single" w:color="000000" w:sz="4" w:space="0"/>
              <w:right w:val="single" w:color="000000" w:sz="4" w:space="0"/>
            </w:tcBorders>
            <w:noWrap/>
            <w:vAlign w:val="center"/>
          </w:tcPr>
          <w:p>
            <w:pPr>
              <w:widowControl/>
              <w:spacing w:line="360" w:lineRule="exact"/>
              <w:rPr>
                <w:rFonts w:ascii="仿宋_GB2312" w:hAnsi="仿宋_GB2312" w:cs="仿宋_GB2312"/>
                <w:kern w:val="0"/>
                <w:sz w:val="24"/>
                <w:szCs w:val="24"/>
              </w:rPr>
            </w:pPr>
            <w:r>
              <w:rPr>
                <w:rFonts w:hint="eastAsia" w:ascii="仿宋_GB2312" w:hAnsi="仿宋_GB2312" w:cs="仿宋_GB2312"/>
                <w:kern w:val="0"/>
                <w:sz w:val="24"/>
                <w:szCs w:val="24"/>
              </w:rPr>
              <w:t>15</w:t>
            </w:r>
          </w:p>
        </w:tc>
        <w:tc>
          <w:tcPr>
            <w:tcW w:w="1240" w:type="dxa"/>
            <w:tcBorders>
              <w:top w:val="nil"/>
              <w:left w:val="nil"/>
              <w:bottom w:val="single" w:color="000000" w:sz="4" w:space="0"/>
              <w:right w:val="single" w:color="000000" w:sz="4" w:space="0"/>
            </w:tcBorders>
            <w:vAlign w:val="center"/>
          </w:tcPr>
          <w:p>
            <w:pPr>
              <w:widowControl/>
              <w:spacing w:line="360" w:lineRule="exact"/>
              <w:rPr>
                <w:rFonts w:ascii="仿宋_GB2312" w:hAnsi="仿宋_GB2312" w:cs="仿宋_GB2312"/>
                <w:kern w:val="0"/>
                <w:sz w:val="24"/>
                <w:szCs w:val="24"/>
              </w:rPr>
            </w:pPr>
            <w:r>
              <w:rPr>
                <w:rFonts w:hint="eastAsia" w:ascii="仿宋_GB2312" w:hAnsi="仿宋_GB2312" w:cs="仿宋_GB2312"/>
                <w:kern w:val="0"/>
                <w:sz w:val="24"/>
                <w:szCs w:val="24"/>
              </w:rPr>
              <w:t>中小企业全线上跨境贸易融资平台</w:t>
            </w:r>
          </w:p>
        </w:tc>
        <w:tc>
          <w:tcPr>
            <w:tcW w:w="5954" w:type="dxa"/>
            <w:tcBorders>
              <w:top w:val="nil"/>
              <w:left w:val="nil"/>
              <w:bottom w:val="single" w:color="000000" w:sz="4" w:space="0"/>
              <w:right w:val="single" w:color="000000" w:sz="4" w:space="0"/>
            </w:tcBorders>
            <w:vAlign w:val="center"/>
          </w:tcPr>
          <w:p>
            <w:pPr>
              <w:widowControl/>
              <w:spacing w:line="360" w:lineRule="exact"/>
              <w:rPr>
                <w:rFonts w:ascii="仿宋_GB2312" w:hAnsi="仿宋_GB2312" w:cs="仿宋_GB2312"/>
                <w:kern w:val="0"/>
                <w:sz w:val="24"/>
                <w:szCs w:val="24"/>
              </w:rPr>
            </w:pPr>
            <w:r>
              <w:rPr>
                <w:rFonts w:hint="eastAsia" w:ascii="仿宋_GB2312" w:hAnsi="仿宋_GB2312" w:cs="仿宋_GB2312"/>
                <w:kern w:val="0"/>
                <w:sz w:val="24"/>
                <w:szCs w:val="24"/>
              </w:rPr>
              <w:t>融资平台通过与海外供应链管理平台的互联互通，自动获取中小出口商在平台上与海外买方的历史交易数据和交易节点数据，并为中小企业客户提供在线融资产品。中小企业可以在完成与买方的日常供应链流程交互后，一键发起融资申请，供应链管理平台通过与融资平台的数据对接，把该笔融资申请以及交易对应的支持文件（订单，发票，承兑通知等）在线传送，融资平台通过大数据、AI方式审核单据无误后即可操作付款。</w:t>
            </w:r>
          </w:p>
        </w:tc>
        <w:tc>
          <w:tcPr>
            <w:tcW w:w="979" w:type="dxa"/>
            <w:tcBorders>
              <w:top w:val="nil"/>
              <w:left w:val="nil"/>
              <w:bottom w:val="single" w:color="000000" w:sz="4" w:space="0"/>
              <w:right w:val="single" w:color="000000" w:sz="4" w:space="0"/>
            </w:tcBorders>
            <w:vAlign w:val="center"/>
          </w:tcPr>
          <w:p>
            <w:pPr>
              <w:widowControl/>
              <w:spacing w:line="360" w:lineRule="exact"/>
              <w:rPr>
                <w:rFonts w:ascii="仿宋_GB2312" w:hAnsi="仿宋_GB2312" w:cs="仿宋_GB2312"/>
                <w:kern w:val="0"/>
                <w:sz w:val="24"/>
                <w:szCs w:val="24"/>
              </w:rPr>
            </w:pPr>
            <w:r>
              <w:rPr>
                <w:rFonts w:hint="eastAsia" w:ascii="仿宋_GB2312" w:hAnsi="仿宋_GB2312" w:cs="仿宋_GB2312"/>
                <w:kern w:val="0"/>
                <w:sz w:val="24"/>
                <w:szCs w:val="24"/>
              </w:rPr>
              <w:t>各企业</w:t>
            </w:r>
          </w:p>
        </w:tc>
        <w:tc>
          <w:tcPr>
            <w:tcW w:w="849" w:type="dxa"/>
            <w:tcBorders>
              <w:top w:val="nil"/>
              <w:left w:val="nil"/>
              <w:bottom w:val="single" w:color="000000" w:sz="4" w:space="0"/>
              <w:right w:val="single" w:color="000000" w:sz="4" w:space="0"/>
            </w:tcBorders>
            <w:vAlign w:val="center"/>
          </w:tcPr>
          <w:p>
            <w:pPr>
              <w:widowControl/>
              <w:spacing w:line="360" w:lineRule="exact"/>
              <w:rPr>
                <w:rFonts w:ascii="仿宋_GB2312" w:hAnsi="仿宋_GB2312" w:cs="仿宋_GB2312"/>
                <w:kern w:val="0"/>
                <w:sz w:val="24"/>
                <w:szCs w:val="24"/>
              </w:rPr>
            </w:pPr>
            <w:r>
              <w:rPr>
                <w:rFonts w:hint="eastAsia" w:ascii="仿宋_GB2312" w:hAnsi="仿宋_GB2312" w:cs="仿宋_GB2312"/>
                <w:kern w:val="0"/>
                <w:sz w:val="24"/>
                <w:szCs w:val="24"/>
              </w:rPr>
              <w:t>全市</w:t>
            </w:r>
          </w:p>
        </w:tc>
      </w:tr>
      <w:tr>
        <w:tblPrEx>
          <w:tblCellMar>
            <w:top w:w="0" w:type="dxa"/>
            <w:left w:w="108" w:type="dxa"/>
            <w:bottom w:w="0" w:type="dxa"/>
            <w:right w:w="108" w:type="dxa"/>
          </w:tblCellMar>
        </w:tblPrEx>
        <w:trPr>
          <w:trHeight w:val="3175" w:hRule="atLeast"/>
          <w:jc w:val="center"/>
        </w:trPr>
        <w:tc>
          <w:tcPr>
            <w:tcW w:w="456" w:type="dxa"/>
            <w:tcBorders>
              <w:top w:val="nil"/>
              <w:left w:val="single" w:color="000000" w:sz="4" w:space="0"/>
              <w:bottom w:val="single" w:color="auto" w:sz="4" w:space="0"/>
              <w:right w:val="single" w:color="000000" w:sz="4" w:space="0"/>
            </w:tcBorders>
            <w:noWrap/>
            <w:vAlign w:val="center"/>
          </w:tcPr>
          <w:p>
            <w:pPr>
              <w:widowControl/>
              <w:spacing w:line="360" w:lineRule="exact"/>
              <w:rPr>
                <w:rFonts w:ascii="仿宋_GB2312" w:hAnsi="仿宋_GB2312" w:cs="仿宋_GB2312"/>
                <w:kern w:val="0"/>
                <w:sz w:val="24"/>
                <w:szCs w:val="24"/>
              </w:rPr>
            </w:pPr>
            <w:r>
              <w:rPr>
                <w:rFonts w:hint="eastAsia" w:ascii="仿宋_GB2312" w:hAnsi="仿宋_GB2312" w:cs="仿宋_GB2312"/>
                <w:kern w:val="0"/>
                <w:sz w:val="24"/>
                <w:szCs w:val="24"/>
              </w:rPr>
              <w:t>16</w:t>
            </w:r>
          </w:p>
        </w:tc>
        <w:tc>
          <w:tcPr>
            <w:tcW w:w="1240" w:type="dxa"/>
            <w:tcBorders>
              <w:top w:val="nil"/>
              <w:left w:val="nil"/>
              <w:bottom w:val="single" w:color="auto" w:sz="4" w:space="0"/>
              <w:right w:val="single" w:color="000000" w:sz="4" w:space="0"/>
            </w:tcBorders>
            <w:vAlign w:val="center"/>
          </w:tcPr>
          <w:p>
            <w:pPr>
              <w:widowControl/>
              <w:spacing w:line="360" w:lineRule="exact"/>
              <w:rPr>
                <w:rFonts w:ascii="仿宋_GB2312" w:hAnsi="仿宋_GB2312" w:cs="仿宋_GB2312"/>
                <w:kern w:val="0"/>
                <w:sz w:val="24"/>
                <w:szCs w:val="24"/>
              </w:rPr>
            </w:pPr>
            <w:r>
              <w:rPr>
                <w:rFonts w:hint="eastAsia" w:ascii="仿宋_GB2312" w:hAnsi="仿宋_GB2312" w:cs="仿宋_GB2312"/>
                <w:kern w:val="0"/>
                <w:sz w:val="24"/>
                <w:szCs w:val="24"/>
              </w:rPr>
              <w:t>“银行+保险+期货”助力精准扶贫</w:t>
            </w:r>
          </w:p>
        </w:tc>
        <w:tc>
          <w:tcPr>
            <w:tcW w:w="5954" w:type="dxa"/>
            <w:tcBorders>
              <w:top w:val="nil"/>
              <w:left w:val="nil"/>
              <w:bottom w:val="single" w:color="auto" w:sz="4" w:space="0"/>
              <w:right w:val="single" w:color="000000" w:sz="4" w:space="0"/>
            </w:tcBorders>
            <w:vAlign w:val="center"/>
          </w:tcPr>
          <w:p>
            <w:pPr>
              <w:widowControl/>
              <w:spacing w:line="360" w:lineRule="exact"/>
              <w:rPr>
                <w:rFonts w:ascii="仿宋_GB2312" w:hAnsi="仿宋_GB2312" w:cs="仿宋_GB2312"/>
                <w:kern w:val="0"/>
                <w:sz w:val="24"/>
                <w:szCs w:val="24"/>
              </w:rPr>
            </w:pPr>
            <w:r>
              <w:rPr>
                <w:rFonts w:hint="eastAsia" w:ascii="仿宋_GB2312" w:hAnsi="仿宋_GB2312" w:cs="仿宋_GB2312"/>
                <w:kern w:val="0"/>
                <w:sz w:val="24"/>
                <w:szCs w:val="24"/>
              </w:rPr>
              <w:t>养殖户以玉米和豆粕作为价格保险标的并投保。面向养殖规范、经营稳健、信用较好的参保农户，银行提供小微扶贫信用贷款。银行的专项扶贫资金和金融期货公司的项目专用资金共同为养殖户承担投保费用，保险公司向参保农户提供玉米豆粕价格上涨保险后，购买玉米豆粕看涨期权实现再保险，运用动态对冲将价格风险转移至期货市场。银行还向部分参保农户提供无抵押低息小微扶贫信用贷款。（注：“扶贫+疫情防控”资产支持票据交易模式不适用于金融租赁公司）</w:t>
            </w:r>
          </w:p>
        </w:tc>
        <w:tc>
          <w:tcPr>
            <w:tcW w:w="979" w:type="dxa"/>
            <w:tcBorders>
              <w:top w:val="nil"/>
              <w:left w:val="nil"/>
              <w:bottom w:val="single" w:color="auto" w:sz="4" w:space="0"/>
              <w:right w:val="single" w:color="000000" w:sz="4" w:space="0"/>
            </w:tcBorders>
            <w:vAlign w:val="center"/>
          </w:tcPr>
          <w:p>
            <w:pPr>
              <w:widowControl/>
              <w:spacing w:line="360" w:lineRule="exact"/>
              <w:rPr>
                <w:rFonts w:ascii="仿宋_GB2312" w:hAnsi="仿宋_GB2312" w:cs="仿宋_GB2312"/>
                <w:kern w:val="0"/>
                <w:sz w:val="24"/>
                <w:szCs w:val="24"/>
              </w:rPr>
            </w:pPr>
            <w:r>
              <w:rPr>
                <w:rFonts w:hint="eastAsia" w:ascii="仿宋_GB2312" w:hAnsi="仿宋_GB2312" w:cs="仿宋_GB2312"/>
                <w:kern w:val="0"/>
                <w:sz w:val="24"/>
                <w:szCs w:val="24"/>
              </w:rPr>
              <w:t>各企业</w:t>
            </w:r>
          </w:p>
        </w:tc>
        <w:tc>
          <w:tcPr>
            <w:tcW w:w="849" w:type="dxa"/>
            <w:tcBorders>
              <w:top w:val="nil"/>
              <w:left w:val="nil"/>
              <w:bottom w:val="single" w:color="auto" w:sz="4" w:space="0"/>
              <w:right w:val="single" w:color="000000" w:sz="4" w:space="0"/>
            </w:tcBorders>
            <w:vAlign w:val="center"/>
          </w:tcPr>
          <w:p>
            <w:pPr>
              <w:widowControl/>
              <w:spacing w:line="360" w:lineRule="exact"/>
              <w:rPr>
                <w:rFonts w:ascii="仿宋_GB2312" w:hAnsi="仿宋_GB2312" w:cs="仿宋_GB2312"/>
                <w:kern w:val="0"/>
                <w:sz w:val="24"/>
                <w:szCs w:val="24"/>
              </w:rPr>
            </w:pPr>
            <w:r>
              <w:rPr>
                <w:rFonts w:hint="eastAsia" w:ascii="仿宋_GB2312" w:hAnsi="仿宋_GB2312" w:cs="仿宋_GB2312"/>
                <w:kern w:val="0"/>
                <w:sz w:val="24"/>
                <w:szCs w:val="24"/>
              </w:rPr>
              <w:t>全市</w:t>
            </w:r>
          </w:p>
        </w:tc>
      </w:tr>
      <w:tr>
        <w:tblPrEx>
          <w:tblCellMar>
            <w:top w:w="0" w:type="dxa"/>
            <w:left w:w="108" w:type="dxa"/>
            <w:bottom w:w="0" w:type="dxa"/>
            <w:right w:w="108" w:type="dxa"/>
          </w:tblCellMar>
        </w:tblPrEx>
        <w:trPr>
          <w:trHeight w:val="3175" w:hRule="atLeast"/>
          <w:jc w:val="center"/>
        </w:trPr>
        <w:tc>
          <w:tcPr>
            <w:tcW w:w="456" w:type="dxa"/>
            <w:tcBorders>
              <w:top w:val="single" w:color="auto" w:sz="4" w:space="0"/>
              <w:left w:val="single" w:color="auto" w:sz="4" w:space="0"/>
              <w:bottom w:val="single" w:color="auto" w:sz="4" w:space="0"/>
              <w:right w:val="single" w:color="000000" w:sz="4" w:space="0"/>
            </w:tcBorders>
            <w:noWrap/>
            <w:vAlign w:val="center"/>
          </w:tcPr>
          <w:p>
            <w:pPr>
              <w:widowControl/>
              <w:spacing w:line="360" w:lineRule="exact"/>
              <w:rPr>
                <w:rFonts w:ascii="仿宋_GB2312" w:hAnsi="仿宋_GB2312" w:cs="仿宋_GB2312"/>
                <w:kern w:val="0"/>
                <w:sz w:val="24"/>
                <w:szCs w:val="24"/>
              </w:rPr>
            </w:pPr>
            <w:r>
              <w:rPr>
                <w:rFonts w:hint="eastAsia" w:ascii="仿宋_GB2312" w:hAnsi="仿宋_GB2312" w:cs="仿宋_GB2312"/>
                <w:kern w:val="0"/>
                <w:sz w:val="24"/>
                <w:szCs w:val="24"/>
              </w:rPr>
              <w:t>17</w:t>
            </w:r>
          </w:p>
        </w:tc>
        <w:tc>
          <w:tcPr>
            <w:tcW w:w="1240" w:type="dxa"/>
            <w:tcBorders>
              <w:top w:val="single" w:color="auto" w:sz="4" w:space="0"/>
              <w:left w:val="nil"/>
              <w:bottom w:val="single" w:color="auto" w:sz="4" w:space="0"/>
              <w:right w:val="single" w:color="000000" w:sz="4" w:space="0"/>
            </w:tcBorders>
            <w:vAlign w:val="center"/>
          </w:tcPr>
          <w:p>
            <w:pPr>
              <w:widowControl/>
              <w:spacing w:line="360" w:lineRule="exact"/>
              <w:rPr>
                <w:rFonts w:ascii="仿宋_GB2312" w:hAnsi="仿宋_GB2312" w:cs="仿宋_GB2312"/>
                <w:kern w:val="0"/>
                <w:sz w:val="24"/>
                <w:szCs w:val="24"/>
              </w:rPr>
            </w:pPr>
            <w:r>
              <w:rPr>
                <w:rFonts w:hint="eastAsia" w:ascii="仿宋_GB2312" w:hAnsi="仿宋_GB2312" w:cs="仿宋_GB2312"/>
                <w:kern w:val="0"/>
                <w:sz w:val="24"/>
                <w:szCs w:val="24"/>
              </w:rPr>
              <w:t>金融债权“在线赋强公证”业务模式</w:t>
            </w:r>
          </w:p>
        </w:tc>
        <w:tc>
          <w:tcPr>
            <w:tcW w:w="5954" w:type="dxa"/>
            <w:tcBorders>
              <w:top w:val="single" w:color="auto" w:sz="4" w:space="0"/>
              <w:left w:val="nil"/>
              <w:bottom w:val="single" w:color="auto" w:sz="4" w:space="0"/>
              <w:right w:val="single" w:color="000000" w:sz="4" w:space="0"/>
            </w:tcBorders>
            <w:vAlign w:val="center"/>
          </w:tcPr>
          <w:p>
            <w:pPr>
              <w:widowControl/>
              <w:spacing w:line="360" w:lineRule="exact"/>
              <w:rPr>
                <w:rFonts w:ascii="仿宋_GB2312" w:hAnsi="仿宋_GB2312" w:cs="仿宋_GB2312"/>
                <w:kern w:val="0"/>
                <w:sz w:val="24"/>
                <w:szCs w:val="24"/>
              </w:rPr>
            </w:pPr>
            <w:r>
              <w:rPr>
                <w:rFonts w:hint="eastAsia" w:ascii="仿宋_GB2312" w:hAnsi="仿宋_GB2312" w:cs="仿宋_GB2312"/>
                <w:kern w:val="0"/>
                <w:sz w:val="24"/>
                <w:szCs w:val="24"/>
              </w:rPr>
              <w:t>利用公证处认可的信息技术手段，进行“人证一致性”验证，验证结果同步到金融机构和公证处。公证处基于金融机构上传到公证系统的合同模板，生成授信合同、公证申请表、公证笔录等，打包推送给借款申请人和金融机构。当事双方在公证处系统平台签署电子债权文书和公证申请资料，对金融债权赋予强制执行效力。出现逾期后，公证处依法核实后出具执行证书申请立案执行，解决金融机构贷后管理中存在的立案难、成本高、耗时长等问题。</w:t>
            </w:r>
          </w:p>
        </w:tc>
        <w:tc>
          <w:tcPr>
            <w:tcW w:w="979" w:type="dxa"/>
            <w:tcBorders>
              <w:top w:val="single" w:color="auto" w:sz="4" w:space="0"/>
              <w:left w:val="nil"/>
              <w:bottom w:val="single" w:color="auto" w:sz="4" w:space="0"/>
              <w:right w:val="single" w:color="000000" w:sz="4" w:space="0"/>
            </w:tcBorders>
            <w:vAlign w:val="center"/>
          </w:tcPr>
          <w:p>
            <w:pPr>
              <w:widowControl/>
              <w:spacing w:line="360" w:lineRule="exact"/>
              <w:rPr>
                <w:rFonts w:ascii="仿宋_GB2312" w:hAnsi="仿宋_GB2312" w:cs="仿宋_GB2312"/>
                <w:kern w:val="0"/>
                <w:sz w:val="24"/>
                <w:szCs w:val="24"/>
              </w:rPr>
            </w:pPr>
            <w:r>
              <w:rPr>
                <w:rFonts w:hint="eastAsia" w:ascii="仿宋_GB2312" w:hAnsi="仿宋_GB2312" w:cs="仿宋_GB2312"/>
                <w:kern w:val="0"/>
                <w:sz w:val="24"/>
                <w:szCs w:val="24"/>
              </w:rPr>
              <w:t>市司法局</w:t>
            </w:r>
          </w:p>
        </w:tc>
        <w:tc>
          <w:tcPr>
            <w:tcW w:w="849" w:type="dxa"/>
            <w:tcBorders>
              <w:top w:val="single" w:color="auto" w:sz="4" w:space="0"/>
              <w:left w:val="nil"/>
              <w:bottom w:val="single" w:color="auto" w:sz="4" w:space="0"/>
              <w:right w:val="single" w:color="auto" w:sz="4" w:space="0"/>
            </w:tcBorders>
            <w:vAlign w:val="center"/>
          </w:tcPr>
          <w:p>
            <w:pPr>
              <w:widowControl/>
              <w:spacing w:line="360" w:lineRule="exact"/>
              <w:rPr>
                <w:rFonts w:ascii="仿宋_GB2312" w:hAnsi="仿宋_GB2312" w:cs="仿宋_GB2312"/>
                <w:kern w:val="0"/>
                <w:sz w:val="24"/>
                <w:szCs w:val="24"/>
              </w:rPr>
            </w:pPr>
            <w:r>
              <w:rPr>
                <w:rFonts w:hint="eastAsia" w:ascii="仿宋_GB2312" w:hAnsi="仿宋_GB2312" w:cs="仿宋_GB2312"/>
                <w:kern w:val="0"/>
                <w:sz w:val="24"/>
                <w:szCs w:val="24"/>
              </w:rPr>
              <w:t>全市</w:t>
            </w:r>
          </w:p>
        </w:tc>
      </w:tr>
      <w:tr>
        <w:tblPrEx>
          <w:tblCellMar>
            <w:top w:w="0" w:type="dxa"/>
            <w:left w:w="108" w:type="dxa"/>
            <w:bottom w:w="0" w:type="dxa"/>
            <w:right w:w="108" w:type="dxa"/>
          </w:tblCellMar>
        </w:tblPrEx>
        <w:trPr>
          <w:trHeight w:val="320" w:hRule="atLeast"/>
          <w:jc w:val="center"/>
        </w:trPr>
        <w:tc>
          <w:tcPr>
            <w:tcW w:w="9478" w:type="dxa"/>
            <w:gridSpan w:val="5"/>
            <w:tcBorders>
              <w:top w:val="single" w:color="auto" w:sz="4" w:space="0"/>
              <w:left w:val="single" w:color="000000" w:sz="4" w:space="0"/>
              <w:bottom w:val="single" w:color="000000" w:sz="4" w:space="0"/>
              <w:right w:val="single" w:color="000000" w:sz="4" w:space="0"/>
            </w:tcBorders>
            <w:noWrap/>
            <w:vAlign w:val="center"/>
          </w:tcPr>
          <w:p>
            <w:pPr>
              <w:widowControl/>
              <w:spacing w:line="360" w:lineRule="exact"/>
              <w:jc w:val="left"/>
              <w:rPr>
                <w:rFonts w:ascii="仿宋_GB2312" w:hAnsi="仿宋_GB2312" w:cs="仿宋_GB2312"/>
                <w:kern w:val="0"/>
                <w:sz w:val="24"/>
                <w:szCs w:val="24"/>
              </w:rPr>
            </w:pPr>
            <w:r>
              <w:rPr>
                <w:rFonts w:hint="eastAsia" w:ascii="仿宋_GB2312" w:hAnsi="仿宋_GB2312" w:cs="仿宋_GB2312"/>
                <w:kern w:val="0"/>
                <w:sz w:val="24"/>
                <w:szCs w:val="24"/>
              </w:rPr>
              <w:t>四、事中事后监管（4项）</w:t>
            </w:r>
          </w:p>
        </w:tc>
      </w:tr>
      <w:tr>
        <w:tblPrEx>
          <w:tblCellMar>
            <w:top w:w="0" w:type="dxa"/>
            <w:left w:w="108" w:type="dxa"/>
            <w:bottom w:w="0" w:type="dxa"/>
            <w:right w:w="108" w:type="dxa"/>
          </w:tblCellMar>
        </w:tblPrEx>
        <w:trPr>
          <w:trHeight w:val="2948" w:hRule="atLeast"/>
          <w:jc w:val="center"/>
        </w:trPr>
        <w:tc>
          <w:tcPr>
            <w:tcW w:w="456" w:type="dxa"/>
            <w:tcBorders>
              <w:top w:val="nil"/>
              <w:left w:val="single" w:color="000000" w:sz="4" w:space="0"/>
              <w:bottom w:val="single" w:color="000000" w:sz="4" w:space="0"/>
              <w:right w:val="single" w:color="000000" w:sz="4" w:space="0"/>
            </w:tcBorders>
            <w:noWrap/>
            <w:vAlign w:val="center"/>
          </w:tcPr>
          <w:p>
            <w:pPr>
              <w:widowControl/>
              <w:spacing w:line="360" w:lineRule="exact"/>
              <w:rPr>
                <w:rFonts w:ascii="仿宋_GB2312" w:hAnsi="仿宋_GB2312" w:cs="仿宋_GB2312"/>
                <w:kern w:val="0"/>
                <w:sz w:val="24"/>
                <w:szCs w:val="24"/>
              </w:rPr>
            </w:pPr>
            <w:r>
              <w:rPr>
                <w:rFonts w:hint="eastAsia" w:ascii="仿宋_GB2312" w:hAnsi="仿宋_GB2312" w:cs="仿宋_GB2312"/>
                <w:kern w:val="0"/>
                <w:sz w:val="24"/>
                <w:szCs w:val="24"/>
              </w:rPr>
              <w:t>18</w:t>
            </w:r>
          </w:p>
        </w:tc>
        <w:tc>
          <w:tcPr>
            <w:tcW w:w="1240" w:type="dxa"/>
            <w:tcBorders>
              <w:top w:val="nil"/>
              <w:left w:val="nil"/>
              <w:bottom w:val="single" w:color="000000" w:sz="4" w:space="0"/>
              <w:right w:val="single" w:color="000000" w:sz="4" w:space="0"/>
            </w:tcBorders>
            <w:vAlign w:val="center"/>
          </w:tcPr>
          <w:p>
            <w:pPr>
              <w:widowControl/>
              <w:spacing w:line="360" w:lineRule="exact"/>
              <w:rPr>
                <w:rFonts w:ascii="仿宋_GB2312" w:hAnsi="仿宋_GB2312" w:cs="仿宋_GB2312"/>
                <w:kern w:val="0"/>
                <w:sz w:val="24"/>
                <w:szCs w:val="24"/>
              </w:rPr>
            </w:pPr>
            <w:r>
              <w:rPr>
                <w:rFonts w:hint="eastAsia" w:ascii="仿宋_GB2312" w:hAnsi="仿宋_GB2312" w:cs="仿宋_GB2312"/>
                <w:kern w:val="0"/>
                <w:sz w:val="24"/>
                <w:szCs w:val="24"/>
              </w:rPr>
              <w:t>海事非现场监管制度</w:t>
            </w:r>
          </w:p>
        </w:tc>
        <w:tc>
          <w:tcPr>
            <w:tcW w:w="5954" w:type="dxa"/>
            <w:tcBorders>
              <w:top w:val="nil"/>
              <w:left w:val="nil"/>
              <w:bottom w:val="single" w:color="000000" w:sz="4" w:space="0"/>
              <w:right w:val="single" w:color="000000" w:sz="4" w:space="0"/>
            </w:tcBorders>
            <w:vAlign w:val="center"/>
          </w:tcPr>
          <w:p>
            <w:pPr>
              <w:widowControl/>
              <w:spacing w:line="360" w:lineRule="exact"/>
              <w:rPr>
                <w:rFonts w:ascii="仿宋_GB2312" w:hAnsi="仿宋_GB2312" w:cs="仿宋_GB2312"/>
                <w:kern w:val="0"/>
                <w:sz w:val="24"/>
                <w:szCs w:val="24"/>
              </w:rPr>
            </w:pPr>
            <w:r>
              <w:rPr>
                <w:rFonts w:hint="eastAsia" w:ascii="仿宋_GB2312" w:hAnsi="仿宋_GB2312" w:cs="仿宋_GB2312"/>
                <w:kern w:val="0"/>
                <w:sz w:val="24"/>
                <w:szCs w:val="24"/>
              </w:rPr>
              <w:t>推行“零接触”现场检查，充分利用智慧海事业务系统，建立任务融合机制，通过远程监管手段，结合现场巡查精准筛选高风险检查目标，减少不必要现场检查。优化非现场监管手段，建立航运企业、水上施工单位定点联络人制度，建立安全云服务制度，提供线上安全管理培训和技术指导。通过海事智能AR现场支持系统、网络在线视频等方式，对船载货物集装箱实施远程开箱检查。通过海事VGM监管系统,对载货集装箱总重量实施远程验证，促进船载货物集装箱快速通关。优化船员远程管理制度，组织船员在线培训和远程在线考试评估，规范辖区船员换班操作，制定疫情防控期间港口船员换班操作指南，建立船厂等重点单位受伤船员救助跟踪机制，协调伤病救助工作。</w:t>
            </w:r>
          </w:p>
        </w:tc>
        <w:tc>
          <w:tcPr>
            <w:tcW w:w="979" w:type="dxa"/>
            <w:tcBorders>
              <w:top w:val="nil"/>
              <w:left w:val="nil"/>
              <w:bottom w:val="single" w:color="000000" w:sz="4" w:space="0"/>
              <w:right w:val="single" w:color="000000" w:sz="4" w:space="0"/>
            </w:tcBorders>
            <w:vAlign w:val="center"/>
          </w:tcPr>
          <w:p>
            <w:pPr>
              <w:widowControl/>
              <w:spacing w:line="360" w:lineRule="exact"/>
              <w:rPr>
                <w:rFonts w:ascii="仿宋_GB2312" w:hAnsi="仿宋_GB2312" w:cs="仿宋_GB2312"/>
                <w:kern w:val="0"/>
                <w:sz w:val="24"/>
                <w:szCs w:val="24"/>
              </w:rPr>
            </w:pPr>
            <w:r>
              <w:rPr>
                <w:rFonts w:hint="eastAsia" w:ascii="仿宋_GB2312" w:hAnsi="仿宋_GB2312" w:cs="仿宋_GB2312"/>
                <w:kern w:val="0"/>
                <w:sz w:val="24"/>
                <w:szCs w:val="24"/>
              </w:rPr>
              <w:t>深圳海事局</w:t>
            </w:r>
          </w:p>
        </w:tc>
        <w:tc>
          <w:tcPr>
            <w:tcW w:w="849" w:type="dxa"/>
            <w:tcBorders>
              <w:top w:val="nil"/>
              <w:left w:val="nil"/>
              <w:bottom w:val="single" w:color="000000" w:sz="4" w:space="0"/>
              <w:right w:val="single" w:color="000000" w:sz="4" w:space="0"/>
            </w:tcBorders>
            <w:vAlign w:val="center"/>
          </w:tcPr>
          <w:p>
            <w:pPr>
              <w:widowControl/>
              <w:spacing w:line="360" w:lineRule="exact"/>
              <w:rPr>
                <w:rFonts w:ascii="仿宋_GB2312" w:hAnsi="仿宋_GB2312" w:cs="仿宋_GB2312"/>
                <w:kern w:val="0"/>
                <w:sz w:val="24"/>
                <w:szCs w:val="24"/>
              </w:rPr>
            </w:pPr>
            <w:r>
              <w:rPr>
                <w:rFonts w:hint="eastAsia" w:ascii="仿宋_GB2312" w:hAnsi="仿宋_GB2312" w:cs="仿宋_GB2312"/>
                <w:kern w:val="0"/>
                <w:sz w:val="24"/>
                <w:szCs w:val="24"/>
              </w:rPr>
              <w:t>全市</w:t>
            </w:r>
          </w:p>
        </w:tc>
      </w:tr>
      <w:tr>
        <w:tblPrEx>
          <w:tblCellMar>
            <w:top w:w="0" w:type="dxa"/>
            <w:left w:w="108" w:type="dxa"/>
            <w:bottom w:w="0" w:type="dxa"/>
            <w:right w:w="108" w:type="dxa"/>
          </w:tblCellMar>
        </w:tblPrEx>
        <w:trPr>
          <w:trHeight w:val="2948" w:hRule="atLeast"/>
          <w:jc w:val="center"/>
        </w:trPr>
        <w:tc>
          <w:tcPr>
            <w:tcW w:w="456" w:type="dxa"/>
            <w:tcBorders>
              <w:top w:val="nil"/>
              <w:left w:val="single" w:color="000000" w:sz="4" w:space="0"/>
              <w:bottom w:val="single" w:color="auto" w:sz="4" w:space="0"/>
              <w:right w:val="single" w:color="000000" w:sz="4" w:space="0"/>
            </w:tcBorders>
            <w:noWrap/>
            <w:vAlign w:val="center"/>
          </w:tcPr>
          <w:p>
            <w:pPr>
              <w:widowControl/>
              <w:spacing w:line="360" w:lineRule="exact"/>
              <w:rPr>
                <w:rFonts w:ascii="仿宋_GB2312" w:hAnsi="仿宋_GB2312" w:cs="仿宋_GB2312"/>
                <w:kern w:val="0"/>
                <w:sz w:val="24"/>
                <w:szCs w:val="24"/>
              </w:rPr>
            </w:pPr>
            <w:r>
              <w:rPr>
                <w:rFonts w:hint="eastAsia" w:ascii="仿宋_GB2312" w:hAnsi="仿宋_GB2312" w:cs="仿宋_GB2312"/>
                <w:kern w:val="0"/>
                <w:sz w:val="24"/>
                <w:szCs w:val="24"/>
              </w:rPr>
              <w:t>19</w:t>
            </w:r>
          </w:p>
        </w:tc>
        <w:tc>
          <w:tcPr>
            <w:tcW w:w="1240" w:type="dxa"/>
            <w:tcBorders>
              <w:top w:val="nil"/>
              <w:left w:val="nil"/>
              <w:bottom w:val="single" w:color="auto" w:sz="4" w:space="0"/>
              <w:right w:val="single" w:color="000000" w:sz="4" w:space="0"/>
            </w:tcBorders>
            <w:vAlign w:val="center"/>
          </w:tcPr>
          <w:p>
            <w:pPr>
              <w:widowControl/>
              <w:spacing w:line="360" w:lineRule="exact"/>
              <w:rPr>
                <w:rFonts w:ascii="仿宋_GB2312" w:hAnsi="仿宋_GB2312" w:cs="仿宋_GB2312"/>
                <w:kern w:val="0"/>
                <w:sz w:val="24"/>
                <w:szCs w:val="24"/>
              </w:rPr>
            </w:pPr>
            <w:r>
              <w:rPr>
                <w:rFonts w:hint="eastAsia" w:ascii="仿宋_GB2312" w:hAnsi="仿宋_GB2312" w:cs="仿宋_GB2312"/>
                <w:kern w:val="0"/>
                <w:sz w:val="24"/>
                <w:szCs w:val="24"/>
              </w:rPr>
              <w:t>船员任解职“不见面”办理</w:t>
            </w:r>
          </w:p>
        </w:tc>
        <w:tc>
          <w:tcPr>
            <w:tcW w:w="5954" w:type="dxa"/>
            <w:tcBorders>
              <w:top w:val="nil"/>
              <w:left w:val="nil"/>
              <w:bottom w:val="single" w:color="auto" w:sz="4" w:space="0"/>
              <w:right w:val="single" w:color="000000" w:sz="4" w:space="0"/>
            </w:tcBorders>
            <w:vAlign w:val="center"/>
          </w:tcPr>
          <w:p>
            <w:pPr>
              <w:widowControl/>
              <w:spacing w:line="360" w:lineRule="exact"/>
              <w:rPr>
                <w:rFonts w:ascii="仿宋_GB2312" w:hAnsi="仿宋_GB2312" w:cs="仿宋_GB2312"/>
                <w:kern w:val="0"/>
                <w:sz w:val="24"/>
                <w:szCs w:val="24"/>
              </w:rPr>
            </w:pPr>
            <w:r>
              <w:rPr>
                <w:rFonts w:hint="eastAsia" w:ascii="仿宋_GB2312" w:hAnsi="仿宋_GB2312" w:cs="仿宋_GB2312"/>
                <w:kern w:val="0"/>
                <w:sz w:val="24"/>
                <w:szCs w:val="24"/>
              </w:rPr>
              <w:t>优化船员任解职线上办理程序，升级船舶报告系统、综合服务平台船员电子申报系统功能，实现船员任解职信息远程申报，航运公司、船长可自主远程为船员申报任解职信息，无须船员到海事政务窗口现场办理。加强事中事后监管，通过加强电子巡查、运用人脸识别等科技手段开展船舶配员和船员任解职现场核查，确保船员适任。</w:t>
            </w:r>
          </w:p>
        </w:tc>
        <w:tc>
          <w:tcPr>
            <w:tcW w:w="979" w:type="dxa"/>
            <w:tcBorders>
              <w:top w:val="nil"/>
              <w:left w:val="nil"/>
              <w:bottom w:val="single" w:color="auto" w:sz="4" w:space="0"/>
              <w:right w:val="single" w:color="000000" w:sz="4" w:space="0"/>
            </w:tcBorders>
            <w:vAlign w:val="center"/>
          </w:tcPr>
          <w:p>
            <w:pPr>
              <w:widowControl/>
              <w:spacing w:line="360" w:lineRule="exact"/>
              <w:rPr>
                <w:rFonts w:ascii="仿宋_GB2312" w:hAnsi="仿宋_GB2312" w:cs="仿宋_GB2312"/>
                <w:kern w:val="0"/>
                <w:sz w:val="24"/>
                <w:szCs w:val="24"/>
              </w:rPr>
            </w:pPr>
            <w:r>
              <w:rPr>
                <w:rFonts w:hint="eastAsia" w:ascii="仿宋_GB2312" w:hAnsi="仿宋_GB2312" w:cs="仿宋_GB2312"/>
                <w:kern w:val="0"/>
                <w:sz w:val="24"/>
                <w:szCs w:val="24"/>
              </w:rPr>
              <w:t>深圳海事局</w:t>
            </w:r>
          </w:p>
        </w:tc>
        <w:tc>
          <w:tcPr>
            <w:tcW w:w="849" w:type="dxa"/>
            <w:tcBorders>
              <w:top w:val="nil"/>
              <w:left w:val="nil"/>
              <w:bottom w:val="single" w:color="auto" w:sz="4" w:space="0"/>
              <w:right w:val="single" w:color="000000" w:sz="4" w:space="0"/>
            </w:tcBorders>
            <w:vAlign w:val="center"/>
          </w:tcPr>
          <w:p>
            <w:pPr>
              <w:widowControl/>
              <w:spacing w:line="360" w:lineRule="exact"/>
              <w:rPr>
                <w:rFonts w:ascii="仿宋_GB2312" w:hAnsi="仿宋_GB2312" w:cs="仿宋_GB2312"/>
                <w:kern w:val="0"/>
                <w:sz w:val="24"/>
                <w:szCs w:val="24"/>
              </w:rPr>
            </w:pPr>
            <w:r>
              <w:rPr>
                <w:rFonts w:hint="eastAsia" w:ascii="仿宋_GB2312" w:hAnsi="仿宋_GB2312" w:cs="仿宋_GB2312"/>
                <w:kern w:val="0"/>
                <w:sz w:val="24"/>
                <w:szCs w:val="24"/>
              </w:rPr>
              <w:t>全市</w:t>
            </w:r>
          </w:p>
        </w:tc>
      </w:tr>
      <w:tr>
        <w:tblPrEx>
          <w:tblCellMar>
            <w:top w:w="0" w:type="dxa"/>
            <w:left w:w="108" w:type="dxa"/>
            <w:bottom w:w="0" w:type="dxa"/>
            <w:right w:w="108" w:type="dxa"/>
          </w:tblCellMar>
        </w:tblPrEx>
        <w:trPr>
          <w:trHeight w:val="1928" w:hRule="atLeast"/>
          <w:jc w:val="center"/>
        </w:trPr>
        <w:tc>
          <w:tcPr>
            <w:tcW w:w="456" w:type="dxa"/>
            <w:tcBorders>
              <w:top w:val="single" w:color="auto" w:sz="4" w:space="0"/>
              <w:left w:val="single" w:color="auto" w:sz="4" w:space="0"/>
              <w:bottom w:val="single" w:color="auto" w:sz="4" w:space="0"/>
              <w:right w:val="single" w:color="000000" w:sz="4" w:space="0"/>
            </w:tcBorders>
            <w:noWrap/>
            <w:vAlign w:val="center"/>
          </w:tcPr>
          <w:p>
            <w:pPr>
              <w:widowControl/>
              <w:spacing w:line="350" w:lineRule="exact"/>
              <w:rPr>
                <w:rFonts w:ascii="仿宋_GB2312" w:hAnsi="仿宋_GB2312" w:cs="仿宋_GB2312"/>
                <w:kern w:val="0"/>
                <w:sz w:val="24"/>
                <w:szCs w:val="24"/>
              </w:rPr>
            </w:pPr>
            <w:r>
              <w:rPr>
                <w:rFonts w:hint="eastAsia" w:ascii="仿宋_GB2312" w:hAnsi="仿宋_GB2312" w:cs="仿宋_GB2312"/>
                <w:kern w:val="0"/>
                <w:sz w:val="24"/>
                <w:szCs w:val="24"/>
              </w:rPr>
              <w:t>20</w:t>
            </w:r>
          </w:p>
        </w:tc>
        <w:tc>
          <w:tcPr>
            <w:tcW w:w="1240" w:type="dxa"/>
            <w:tcBorders>
              <w:top w:val="single" w:color="auto" w:sz="4" w:space="0"/>
              <w:left w:val="nil"/>
              <w:bottom w:val="single" w:color="auto" w:sz="4" w:space="0"/>
              <w:right w:val="single" w:color="000000" w:sz="4" w:space="0"/>
            </w:tcBorders>
            <w:vAlign w:val="center"/>
          </w:tcPr>
          <w:p>
            <w:pPr>
              <w:widowControl/>
              <w:spacing w:line="350" w:lineRule="exact"/>
              <w:rPr>
                <w:rFonts w:ascii="仿宋_GB2312" w:hAnsi="仿宋_GB2312" w:cs="仿宋_GB2312"/>
                <w:kern w:val="0"/>
                <w:sz w:val="24"/>
                <w:szCs w:val="24"/>
              </w:rPr>
            </w:pPr>
            <w:r>
              <w:rPr>
                <w:rFonts w:hint="eastAsia" w:ascii="仿宋_GB2312" w:hAnsi="仿宋_GB2312" w:cs="仿宋_GB2312"/>
                <w:kern w:val="0"/>
                <w:sz w:val="24"/>
                <w:szCs w:val="24"/>
              </w:rPr>
              <w:t>弃土运输船舶信用评分机制</w:t>
            </w:r>
          </w:p>
        </w:tc>
        <w:tc>
          <w:tcPr>
            <w:tcW w:w="5954" w:type="dxa"/>
            <w:tcBorders>
              <w:top w:val="single" w:color="auto" w:sz="4" w:space="0"/>
              <w:left w:val="nil"/>
              <w:bottom w:val="single" w:color="auto" w:sz="4" w:space="0"/>
              <w:right w:val="single" w:color="000000" w:sz="4" w:space="0"/>
            </w:tcBorders>
            <w:vAlign w:val="center"/>
          </w:tcPr>
          <w:p>
            <w:pPr>
              <w:widowControl/>
              <w:spacing w:line="350" w:lineRule="exact"/>
              <w:rPr>
                <w:rFonts w:ascii="仿宋_GB2312" w:hAnsi="仿宋_GB2312" w:cs="仿宋_GB2312"/>
                <w:kern w:val="0"/>
                <w:sz w:val="24"/>
                <w:szCs w:val="24"/>
              </w:rPr>
            </w:pPr>
            <w:r>
              <w:rPr>
                <w:rFonts w:hint="eastAsia" w:ascii="仿宋_GB2312" w:hAnsi="仿宋_GB2312" w:cs="仿宋_GB2312"/>
                <w:kern w:val="0"/>
                <w:sz w:val="24"/>
                <w:szCs w:val="24"/>
              </w:rPr>
              <w:t>实现弃土运输船舶的差异化管理，指导弃土装船点运营企业建立信用评分机制，实行分类分级管理，安全信用等级高者可享受运营企业优先安排船舶装卸作业等便利，通过差异化管理激励船舶遵章守法。海事部门与运营企业建立信息共享机制，依法共享企业评定的船舶信用等级情况以及日常监管违法信息，企业每季度对弃土运输船舶进行评估后，动态调整其安全信用等级。运用评定结果促进企业落实安全生产主体责任，海事部门结合船舶安检和现场监督等日常执法工作，实时监测船舶航行、靠泊和装载情况，严厉打击超载、超航区航行等违法行为，持续跟踪评估连续多个周期评分等级低的船舶，对其所属公司进行约谈。</w:t>
            </w:r>
          </w:p>
        </w:tc>
        <w:tc>
          <w:tcPr>
            <w:tcW w:w="979" w:type="dxa"/>
            <w:tcBorders>
              <w:top w:val="single" w:color="auto" w:sz="4" w:space="0"/>
              <w:left w:val="nil"/>
              <w:bottom w:val="single" w:color="auto" w:sz="4" w:space="0"/>
              <w:right w:val="single" w:color="000000" w:sz="4" w:space="0"/>
            </w:tcBorders>
            <w:vAlign w:val="center"/>
          </w:tcPr>
          <w:p>
            <w:pPr>
              <w:widowControl/>
              <w:spacing w:line="350" w:lineRule="exact"/>
              <w:rPr>
                <w:rFonts w:ascii="仿宋_GB2312" w:hAnsi="仿宋_GB2312" w:cs="仿宋_GB2312"/>
                <w:kern w:val="0"/>
                <w:sz w:val="24"/>
                <w:szCs w:val="24"/>
              </w:rPr>
            </w:pPr>
            <w:r>
              <w:rPr>
                <w:rFonts w:hint="eastAsia" w:ascii="仿宋_GB2312" w:hAnsi="仿宋_GB2312" w:cs="仿宋_GB2312"/>
                <w:kern w:val="0"/>
                <w:sz w:val="24"/>
                <w:szCs w:val="24"/>
              </w:rPr>
              <w:t>深圳海事局</w:t>
            </w:r>
          </w:p>
        </w:tc>
        <w:tc>
          <w:tcPr>
            <w:tcW w:w="849" w:type="dxa"/>
            <w:tcBorders>
              <w:top w:val="single" w:color="auto" w:sz="4" w:space="0"/>
              <w:left w:val="nil"/>
              <w:bottom w:val="single" w:color="auto" w:sz="4" w:space="0"/>
              <w:right w:val="single" w:color="auto" w:sz="4" w:space="0"/>
            </w:tcBorders>
            <w:vAlign w:val="center"/>
          </w:tcPr>
          <w:p>
            <w:pPr>
              <w:widowControl/>
              <w:spacing w:line="350" w:lineRule="exact"/>
              <w:rPr>
                <w:rFonts w:ascii="仿宋_GB2312" w:hAnsi="仿宋_GB2312" w:cs="仿宋_GB2312"/>
                <w:kern w:val="0"/>
                <w:sz w:val="24"/>
                <w:szCs w:val="24"/>
              </w:rPr>
            </w:pPr>
            <w:r>
              <w:rPr>
                <w:rFonts w:hint="eastAsia" w:ascii="仿宋_GB2312" w:hAnsi="仿宋_GB2312" w:cs="仿宋_GB2312"/>
                <w:kern w:val="0"/>
                <w:sz w:val="24"/>
                <w:szCs w:val="24"/>
              </w:rPr>
              <w:t>全市</w:t>
            </w:r>
          </w:p>
        </w:tc>
      </w:tr>
      <w:tr>
        <w:tblPrEx>
          <w:tblCellMar>
            <w:top w:w="0" w:type="dxa"/>
            <w:left w:w="108" w:type="dxa"/>
            <w:bottom w:w="0" w:type="dxa"/>
            <w:right w:w="108" w:type="dxa"/>
          </w:tblCellMar>
        </w:tblPrEx>
        <w:trPr>
          <w:trHeight w:val="1928" w:hRule="atLeast"/>
          <w:jc w:val="center"/>
        </w:trPr>
        <w:tc>
          <w:tcPr>
            <w:tcW w:w="456" w:type="dxa"/>
            <w:tcBorders>
              <w:top w:val="single" w:color="auto" w:sz="4" w:space="0"/>
              <w:left w:val="single" w:color="000000" w:sz="4" w:space="0"/>
              <w:bottom w:val="single" w:color="000000" w:sz="4" w:space="0"/>
              <w:right w:val="single" w:color="000000" w:sz="4" w:space="0"/>
            </w:tcBorders>
            <w:noWrap/>
            <w:vAlign w:val="center"/>
          </w:tcPr>
          <w:p>
            <w:pPr>
              <w:widowControl/>
              <w:spacing w:line="350" w:lineRule="exact"/>
              <w:rPr>
                <w:rFonts w:ascii="仿宋_GB2312" w:hAnsi="仿宋_GB2312" w:cs="仿宋_GB2312"/>
                <w:kern w:val="0"/>
                <w:sz w:val="24"/>
                <w:szCs w:val="24"/>
              </w:rPr>
            </w:pPr>
            <w:r>
              <w:rPr>
                <w:rFonts w:hint="eastAsia" w:ascii="仿宋_GB2312" w:hAnsi="仿宋_GB2312" w:cs="仿宋_GB2312"/>
                <w:kern w:val="0"/>
                <w:sz w:val="24"/>
                <w:szCs w:val="24"/>
              </w:rPr>
              <w:t>21</w:t>
            </w:r>
          </w:p>
        </w:tc>
        <w:tc>
          <w:tcPr>
            <w:tcW w:w="1240" w:type="dxa"/>
            <w:tcBorders>
              <w:top w:val="single" w:color="auto" w:sz="4" w:space="0"/>
              <w:left w:val="nil"/>
              <w:bottom w:val="single" w:color="000000" w:sz="4" w:space="0"/>
              <w:right w:val="single" w:color="000000" w:sz="4" w:space="0"/>
            </w:tcBorders>
            <w:vAlign w:val="center"/>
          </w:tcPr>
          <w:p>
            <w:pPr>
              <w:widowControl/>
              <w:spacing w:line="350" w:lineRule="exact"/>
              <w:rPr>
                <w:rFonts w:ascii="仿宋_GB2312" w:hAnsi="仿宋_GB2312" w:cs="仿宋_GB2312"/>
                <w:kern w:val="0"/>
                <w:sz w:val="24"/>
                <w:szCs w:val="24"/>
              </w:rPr>
            </w:pPr>
            <w:r>
              <w:rPr>
                <w:rFonts w:hint="eastAsia" w:ascii="仿宋_GB2312" w:hAnsi="仿宋_GB2312" w:cs="仿宋_GB2312"/>
                <w:kern w:val="0"/>
                <w:sz w:val="24"/>
                <w:szCs w:val="24"/>
              </w:rPr>
              <w:t>“云上稽查”平台</w:t>
            </w:r>
          </w:p>
        </w:tc>
        <w:tc>
          <w:tcPr>
            <w:tcW w:w="5954" w:type="dxa"/>
            <w:tcBorders>
              <w:top w:val="single" w:color="auto" w:sz="4" w:space="0"/>
              <w:left w:val="nil"/>
              <w:bottom w:val="single" w:color="000000" w:sz="4" w:space="0"/>
              <w:right w:val="single" w:color="000000" w:sz="4" w:space="0"/>
            </w:tcBorders>
            <w:vAlign w:val="center"/>
          </w:tcPr>
          <w:p>
            <w:pPr>
              <w:widowControl/>
              <w:spacing w:line="350" w:lineRule="exact"/>
              <w:rPr>
                <w:rFonts w:ascii="仿宋_GB2312" w:hAnsi="仿宋_GB2312" w:cs="仿宋_GB2312"/>
                <w:kern w:val="0"/>
                <w:sz w:val="24"/>
                <w:szCs w:val="24"/>
              </w:rPr>
            </w:pPr>
            <w:r>
              <w:rPr>
                <w:rFonts w:hint="eastAsia" w:ascii="仿宋_GB2312" w:hAnsi="仿宋_GB2312" w:cs="仿宋_GB2312"/>
                <w:kern w:val="0"/>
                <w:sz w:val="24"/>
                <w:szCs w:val="24"/>
              </w:rPr>
              <w:t>市场监督管理部门上线运行“云上稽查”互联网高效综合执法平台，平台在线通联司法鉴定机构和多个商业云，具备“电子数据固化见证”“全网特定数据搜集”“云端数据证据在线提取”三个核心功能，可按需出具司法鉴定报告。平台保证了执法证据链式关系，提高了数据证据效力与质量，助力执法规范化。</w:t>
            </w:r>
          </w:p>
        </w:tc>
        <w:tc>
          <w:tcPr>
            <w:tcW w:w="979" w:type="dxa"/>
            <w:tcBorders>
              <w:top w:val="single" w:color="auto" w:sz="4" w:space="0"/>
              <w:left w:val="nil"/>
              <w:bottom w:val="single" w:color="000000" w:sz="4" w:space="0"/>
              <w:right w:val="single" w:color="000000" w:sz="4" w:space="0"/>
            </w:tcBorders>
            <w:vAlign w:val="center"/>
          </w:tcPr>
          <w:p>
            <w:pPr>
              <w:widowControl/>
              <w:spacing w:line="350" w:lineRule="exact"/>
              <w:rPr>
                <w:rFonts w:ascii="仿宋_GB2312" w:hAnsi="仿宋_GB2312" w:cs="仿宋_GB2312"/>
                <w:kern w:val="0"/>
                <w:sz w:val="24"/>
                <w:szCs w:val="24"/>
              </w:rPr>
            </w:pPr>
            <w:r>
              <w:rPr>
                <w:rFonts w:hint="eastAsia" w:ascii="仿宋_GB2312" w:hAnsi="仿宋_GB2312" w:cs="仿宋_GB2312"/>
                <w:kern w:val="0"/>
                <w:sz w:val="24"/>
                <w:szCs w:val="24"/>
              </w:rPr>
              <w:t>市市场监管局</w:t>
            </w:r>
          </w:p>
        </w:tc>
        <w:tc>
          <w:tcPr>
            <w:tcW w:w="849" w:type="dxa"/>
            <w:tcBorders>
              <w:top w:val="single" w:color="auto" w:sz="4" w:space="0"/>
              <w:left w:val="nil"/>
              <w:bottom w:val="single" w:color="000000" w:sz="4" w:space="0"/>
              <w:right w:val="single" w:color="000000" w:sz="4" w:space="0"/>
            </w:tcBorders>
            <w:vAlign w:val="center"/>
          </w:tcPr>
          <w:p>
            <w:pPr>
              <w:widowControl/>
              <w:spacing w:line="350" w:lineRule="exact"/>
              <w:rPr>
                <w:rFonts w:ascii="仿宋_GB2312" w:hAnsi="仿宋_GB2312" w:cs="仿宋_GB2312"/>
                <w:kern w:val="0"/>
                <w:sz w:val="24"/>
                <w:szCs w:val="24"/>
              </w:rPr>
            </w:pPr>
            <w:r>
              <w:rPr>
                <w:rFonts w:hint="eastAsia" w:ascii="仿宋_GB2312" w:hAnsi="仿宋_GB2312" w:cs="仿宋_GB2312"/>
                <w:kern w:val="0"/>
                <w:sz w:val="24"/>
                <w:szCs w:val="24"/>
              </w:rPr>
              <w:t>全市</w:t>
            </w:r>
          </w:p>
        </w:tc>
      </w:tr>
      <w:tr>
        <w:tblPrEx>
          <w:tblCellMar>
            <w:top w:w="0" w:type="dxa"/>
            <w:left w:w="108" w:type="dxa"/>
            <w:bottom w:w="0" w:type="dxa"/>
            <w:right w:w="108" w:type="dxa"/>
          </w:tblCellMar>
        </w:tblPrEx>
        <w:trPr>
          <w:trHeight w:val="320" w:hRule="atLeast"/>
          <w:jc w:val="center"/>
        </w:trPr>
        <w:tc>
          <w:tcPr>
            <w:tcW w:w="9478" w:type="dxa"/>
            <w:gridSpan w:val="5"/>
            <w:tcBorders>
              <w:top w:val="single" w:color="000000" w:sz="4" w:space="0"/>
              <w:left w:val="single" w:color="000000" w:sz="4" w:space="0"/>
              <w:bottom w:val="single" w:color="000000" w:sz="4" w:space="0"/>
              <w:right w:val="single" w:color="000000" w:sz="4" w:space="0"/>
            </w:tcBorders>
            <w:noWrap/>
            <w:vAlign w:val="center"/>
          </w:tcPr>
          <w:p>
            <w:pPr>
              <w:widowControl/>
              <w:spacing w:line="350" w:lineRule="exact"/>
              <w:jc w:val="left"/>
              <w:rPr>
                <w:rFonts w:ascii="仿宋_GB2312" w:hAnsi="仿宋_GB2312" w:cs="仿宋_GB2312"/>
                <w:kern w:val="0"/>
                <w:sz w:val="24"/>
                <w:szCs w:val="24"/>
              </w:rPr>
            </w:pPr>
            <w:r>
              <w:rPr>
                <w:rFonts w:hint="eastAsia" w:ascii="仿宋_GB2312" w:hAnsi="仿宋_GB2312" w:cs="仿宋_GB2312"/>
                <w:kern w:val="0"/>
                <w:sz w:val="24"/>
                <w:szCs w:val="24"/>
              </w:rPr>
              <w:t>五、法治创新（11项）</w:t>
            </w:r>
          </w:p>
        </w:tc>
      </w:tr>
      <w:tr>
        <w:tblPrEx>
          <w:tblCellMar>
            <w:top w:w="0" w:type="dxa"/>
            <w:left w:w="108" w:type="dxa"/>
            <w:bottom w:w="0" w:type="dxa"/>
            <w:right w:w="108" w:type="dxa"/>
          </w:tblCellMar>
        </w:tblPrEx>
        <w:trPr>
          <w:trHeight w:val="2595" w:hRule="atLeast"/>
          <w:jc w:val="center"/>
        </w:trPr>
        <w:tc>
          <w:tcPr>
            <w:tcW w:w="456" w:type="dxa"/>
            <w:tcBorders>
              <w:top w:val="nil"/>
              <w:left w:val="single" w:color="000000" w:sz="4" w:space="0"/>
              <w:bottom w:val="single" w:color="000000" w:sz="4" w:space="0"/>
              <w:right w:val="single" w:color="000000" w:sz="4" w:space="0"/>
            </w:tcBorders>
            <w:noWrap/>
            <w:vAlign w:val="center"/>
          </w:tcPr>
          <w:p>
            <w:pPr>
              <w:widowControl/>
              <w:spacing w:line="350" w:lineRule="exact"/>
              <w:rPr>
                <w:rFonts w:ascii="仿宋_GB2312" w:hAnsi="仿宋_GB2312" w:cs="仿宋_GB2312"/>
                <w:kern w:val="0"/>
                <w:sz w:val="24"/>
                <w:szCs w:val="24"/>
              </w:rPr>
            </w:pPr>
            <w:r>
              <w:rPr>
                <w:rFonts w:hint="eastAsia" w:ascii="仿宋_GB2312" w:hAnsi="仿宋_GB2312" w:cs="仿宋_GB2312"/>
                <w:kern w:val="0"/>
                <w:sz w:val="24"/>
                <w:szCs w:val="24"/>
              </w:rPr>
              <w:t>22</w:t>
            </w:r>
          </w:p>
        </w:tc>
        <w:tc>
          <w:tcPr>
            <w:tcW w:w="1240" w:type="dxa"/>
            <w:tcBorders>
              <w:top w:val="nil"/>
              <w:left w:val="nil"/>
              <w:bottom w:val="single" w:color="000000" w:sz="4" w:space="0"/>
              <w:right w:val="single" w:color="000000" w:sz="4" w:space="0"/>
            </w:tcBorders>
            <w:vAlign w:val="center"/>
          </w:tcPr>
          <w:p>
            <w:pPr>
              <w:widowControl/>
              <w:spacing w:line="350" w:lineRule="exact"/>
              <w:rPr>
                <w:rFonts w:ascii="仿宋_GB2312" w:hAnsi="仿宋_GB2312" w:cs="仿宋_GB2312"/>
                <w:kern w:val="0"/>
                <w:sz w:val="24"/>
                <w:szCs w:val="24"/>
              </w:rPr>
            </w:pPr>
            <w:r>
              <w:rPr>
                <w:rFonts w:hint="eastAsia" w:ascii="仿宋_GB2312" w:hAnsi="仿宋_GB2312" w:cs="仿宋_GB2312"/>
                <w:kern w:val="0"/>
                <w:sz w:val="24"/>
                <w:szCs w:val="24"/>
              </w:rPr>
              <w:t>区块链版权公共服务平台</w:t>
            </w:r>
          </w:p>
        </w:tc>
        <w:tc>
          <w:tcPr>
            <w:tcW w:w="5954" w:type="dxa"/>
            <w:tcBorders>
              <w:top w:val="nil"/>
              <w:left w:val="nil"/>
              <w:bottom w:val="single" w:color="000000" w:sz="4" w:space="0"/>
              <w:right w:val="single" w:color="000000" w:sz="4" w:space="0"/>
            </w:tcBorders>
            <w:vAlign w:val="center"/>
          </w:tcPr>
          <w:p>
            <w:pPr>
              <w:widowControl/>
              <w:spacing w:line="350" w:lineRule="exact"/>
              <w:rPr>
                <w:rFonts w:ascii="仿宋_GB2312" w:hAnsi="仿宋_GB2312" w:cs="仿宋_GB2312"/>
                <w:kern w:val="0"/>
                <w:sz w:val="24"/>
                <w:szCs w:val="24"/>
              </w:rPr>
            </w:pPr>
            <w:r>
              <w:rPr>
                <w:rFonts w:hint="eastAsia" w:ascii="仿宋_GB2312" w:hAnsi="仿宋_GB2312" w:cs="仿宋_GB2312"/>
                <w:kern w:val="0"/>
                <w:sz w:val="24"/>
                <w:szCs w:val="24"/>
              </w:rPr>
              <w:t>版权公共服务平台基于区块链技术，提供版权确权、监测、维权、交易等功能。该平台通过核心层的存证合约、资产合约、交易记账合约及服务层对智能合约的交互和调用机制，为用户提供多种版权保护功能及接口服务并支持区块链节点的扩展。同时，构建以版权服务平台为核心，集版权登记、版权存证、侵权监测、司法取证、法律维权、版权资产管理、版权金融等多种服务为一体的版权保护服务体系，形成市场、行政、司法联动的版权保护协作机制。</w:t>
            </w:r>
          </w:p>
        </w:tc>
        <w:tc>
          <w:tcPr>
            <w:tcW w:w="979" w:type="dxa"/>
            <w:tcBorders>
              <w:top w:val="nil"/>
              <w:left w:val="nil"/>
              <w:bottom w:val="single" w:color="000000" w:sz="4" w:space="0"/>
              <w:right w:val="single" w:color="000000" w:sz="4" w:space="0"/>
            </w:tcBorders>
            <w:vAlign w:val="center"/>
          </w:tcPr>
          <w:p>
            <w:pPr>
              <w:widowControl/>
              <w:spacing w:line="350" w:lineRule="exact"/>
              <w:rPr>
                <w:rFonts w:ascii="仿宋_GB2312" w:hAnsi="仿宋_GB2312" w:cs="仿宋_GB2312"/>
                <w:kern w:val="0"/>
                <w:sz w:val="24"/>
                <w:szCs w:val="24"/>
              </w:rPr>
            </w:pPr>
            <w:r>
              <w:rPr>
                <w:rFonts w:hint="eastAsia" w:ascii="仿宋_GB2312" w:hAnsi="仿宋_GB2312" w:cs="仿宋_GB2312"/>
                <w:kern w:val="0"/>
                <w:sz w:val="24"/>
                <w:szCs w:val="24"/>
              </w:rPr>
              <w:t>市前海管理局</w:t>
            </w:r>
          </w:p>
        </w:tc>
        <w:tc>
          <w:tcPr>
            <w:tcW w:w="849" w:type="dxa"/>
            <w:tcBorders>
              <w:top w:val="nil"/>
              <w:left w:val="nil"/>
              <w:bottom w:val="single" w:color="000000" w:sz="4" w:space="0"/>
              <w:right w:val="single" w:color="000000" w:sz="4" w:space="0"/>
            </w:tcBorders>
            <w:vAlign w:val="center"/>
          </w:tcPr>
          <w:p>
            <w:pPr>
              <w:widowControl/>
              <w:spacing w:line="350" w:lineRule="exact"/>
              <w:rPr>
                <w:rFonts w:ascii="仿宋_GB2312" w:hAnsi="仿宋_GB2312" w:cs="仿宋_GB2312"/>
                <w:kern w:val="0"/>
                <w:sz w:val="24"/>
                <w:szCs w:val="24"/>
              </w:rPr>
            </w:pPr>
            <w:r>
              <w:rPr>
                <w:rFonts w:hint="eastAsia" w:ascii="仿宋_GB2312" w:hAnsi="仿宋_GB2312" w:cs="仿宋_GB2312"/>
                <w:kern w:val="0"/>
                <w:sz w:val="24"/>
                <w:szCs w:val="24"/>
              </w:rPr>
              <w:t>全市</w:t>
            </w:r>
          </w:p>
        </w:tc>
      </w:tr>
      <w:tr>
        <w:tblPrEx>
          <w:tblCellMar>
            <w:top w:w="0" w:type="dxa"/>
            <w:left w:w="108" w:type="dxa"/>
            <w:bottom w:w="0" w:type="dxa"/>
            <w:right w:w="108" w:type="dxa"/>
          </w:tblCellMar>
        </w:tblPrEx>
        <w:trPr>
          <w:trHeight w:val="1288" w:hRule="atLeast"/>
          <w:jc w:val="center"/>
        </w:trPr>
        <w:tc>
          <w:tcPr>
            <w:tcW w:w="456" w:type="dxa"/>
            <w:tcBorders>
              <w:top w:val="nil"/>
              <w:left w:val="single" w:color="000000" w:sz="4" w:space="0"/>
              <w:bottom w:val="single" w:color="auto" w:sz="4" w:space="0"/>
              <w:right w:val="single" w:color="000000" w:sz="4" w:space="0"/>
            </w:tcBorders>
            <w:noWrap/>
            <w:vAlign w:val="center"/>
          </w:tcPr>
          <w:p>
            <w:pPr>
              <w:widowControl/>
              <w:spacing w:line="350" w:lineRule="exact"/>
              <w:rPr>
                <w:rFonts w:ascii="仿宋_GB2312" w:hAnsi="仿宋_GB2312" w:cs="仿宋_GB2312"/>
                <w:kern w:val="0"/>
                <w:sz w:val="24"/>
                <w:szCs w:val="24"/>
              </w:rPr>
            </w:pPr>
            <w:r>
              <w:rPr>
                <w:rFonts w:hint="eastAsia" w:ascii="仿宋_GB2312" w:hAnsi="仿宋_GB2312" w:cs="仿宋_GB2312"/>
                <w:kern w:val="0"/>
                <w:sz w:val="24"/>
                <w:szCs w:val="24"/>
              </w:rPr>
              <w:t>23</w:t>
            </w:r>
          </w:p>
        </w:tc>
        <w:tc>
          <w:tcPr>
            <w:tcW w:w="1240" w:type="dxa"/>
            <w:tcBorders>
              <w:top w:val="nil"/>
              <w:left w:val="nil"/>
              <w:bottom w:val="single" w:color="auto" w:sz="4" w:space="0"/>
              <w:right w:val="single" w:color="000000" w:sz="4" w:space="0"/>
            </w:tcBorders>
            <w:vAlign w:val="center"/>
          </w:tcPr>
          <w:p>
            <w:pPr>
              <w:widowControl/>
              <w:spacing w:line="350" w:lineRule="exact"/>
              <w:rPr>
                <w:rFonts w:ascii="仿宋_GB2312" w:hAnsi="仿宋_GB2312" w:cs="仿宋_GB2312"/>
                <w:kern w:val="0"/>
                <w:sz w:val="24"/>
                <w:szCs w:val="24"/>
              </w:rPr>
            </w:pPr>
            <w:r>
              <w:rPr>
                <w:rFonts w:hint="eastAsia" w:ascii="仿宋_GB2312" w:hAnsi="仿宋_GB2312" w:cs="仿宋_GB2312"/>
                <w:kern w:val="0"/>
                <w:sz w:val="24"/>
                <w:szCs w:val="24"/>
              </w:rPr>
              <w:t>知识产权检察研究机构</w:t>
            </w:r>
          </w:p>
        </w:tc>
        <w:tc>
          <w:tcPr>
            <w:tcW w:w="5954" w:type="dxa"/>
            <w:tcBorders>
              <w:top w:val="nil"/>
              <w:left w:val="nil"/>
              <w:bottom w:val="single" w:color="auto" w:sz="4" w:space="0"/>
              <w:right w:val="single" w:color="000000" w:sz="4" w:space="0"/>
            </w:tcBorders>
            <w:vAlign w:val="center"/>
          </w:tcPr>
          <w:p>
            <w:pPr>
              <w:widowControl/>
              <w:spacing w:line="350" w:lineRule="exact"/>
              <w:rPr>
                <w:rFonts w:ascii="仿宋_GB2312" w:hAnsi="仿宋_GB2312" w:cs="仿宋_GB2312"/>
                <w:kern w:val="0"/>
                <w:sz w:val="24"/>
                <w:szCs w:val="24"/>
              </w:rPr>
            </w:pPr>
            <w:r>
              <w:rPr>
                <w:rFonts w:hint="eastAsia" w:ascii="仿宋_GB2312" w:hAnsi="仿宋_GB2312" w:cs="仿宋_GB2312"/>
                <w:kern w:val="0"/>
                <w:sz w:val="24"/>
                <w:szCs w:val="24"/>
              </w:rPr>
              <w:t>四级共建知识产权检察研究机构，探索技术人员参与案件事实查明机制、知识产权领域检察权行使的证据科学研究平台及知识产权保护一体化平台，为知识产权办案提供文证审查、技术支持，开展涉外、涉港澳等前沿性知识产权问题研究，为区域或国际知识产权保护法律问题提供理论支撑。</w:t>
            </w:r>
          </w:p>
        </w:tc>
        <w:tc>
          <w:tcPr>
            <w:tcW w:w="979" w:type="dxa"/>
            <w:tcBorders>
              <w:top w:val="nil"/>
              <w:left w:val="nil"/>
              <w:bottom w:val="single" w:color="auto" w:sz="4" w:space="0"/>
              <w:right w:val="single" w:color="000000" w:sz="4" w:space="0"/>
            </w:tcBorders>
            <w:vAlign w:val="center"/>
          </w:tcPr>
          <w:p>
            <w:pPr>
              <w:widowControl/>
              <w:spacing w:line="350" w:lineRule="exact"/>
              <w:rPr>
                <w:rFonts w:ascii="仿宋_GB2312" w:hAnsi="仿宋_GB2312" w:cs="仿宋_GB2312"/>
                <w:kern w:val="0"/>
                <w:sz w:val="24"/>
                <w:szCs w:val="24"/>
              </w:rPr>
            </w:pPr>
            <w:r>
              <w:rPr>
                <w:rFonts w:hint="eastAsia" w:ascii="仿宋_GB2312" w:hAnsi="仿宋_GB2312" w:cs="仿宋_GB2312"/>
                <w:kern w:val="0"/>
                <w:sz w:val="24"/>
                <w:szCs w:val="24"/>
              </w:rPr>
              <w:t>市检察院</w:t>
            </w:r>
          </w:p>
        </w:tc>
        <w:tc>
          <w:tcPr>
            <w:tcW w:w="849" w:type="dxa"/>
            <w:tcBorders>
              <w:top w:val="nil"/>
              <w:left w:val="nil"/>
              <w:bottom w:val="single" w:color="auto" w:sz="4" w:space="0"/>
              <w:right w:val="single" w:color="000000" w:sz="4" w:space="0"/>
            </w:tcBorders>
            <w:vAlign w:val="center"/>
          </w:tcPr>
          <w:p>
            <w:pPr>
              <w:widowControl/>
              <w:spacing w:line="350" w:lineRule="exact"/>
              <w:rPr>
                <w:rFonts w:ascii="仿宋_GB2312" w:hAnsi="仿宋_GB2312" w:cs="仿宋_GB2312"/>
                <w:kern w:val="0"/>
                <w:sz w:val="24"/>
                <w:szCs w:val="24"/>
              </w:rPr>
            </w:pPr>
            <w:r>
              <w:rPr>
                <w:rFonts w:hint="eastAsia" w:ascii="仿宋_GB2312" w:hAnsi="仿宋_GB2312" w:cs="仿宋_GB2312"/>
                <w:kern w:val="0"/>
                <w:sz w:val="24"/>
                <w:szCs w:val="24"/>
              </w:rPr>
              <w:t>全市</w:t>
            </w:r>
          </w:p>
        </w:tc>
      </w:tr>
      <w:tr>
        <w:tblPrEx>
          <w:tblCellMar>
            <w:top w:w="0" w:type="dxa"/>
            <w:left w:w="108" w:type="dxa"/>
            <w:bottom w:w="0" w:type="dxa"/>
            <w:right w:w="108" w:type="dxa"/>
          </w:tblCellMar>
        </w:tblPrEx>
        <w:trPr>
          <w:trHeight w:val="2357" w:hRule="atLeast"/>
          <w:jc w:val="center"/>
        </w:trPr>
        <w:tc>
          <w:tcPr>
            <w:tcW w:w="456" w:type="dxa"/>
            <w:tcBorders>
              <w:top w:val="single" w:color="auto" w:sz="4" w:space="0"/>
              <w:left w:val="single" w:color="auto" w:sz="4" w:space="0"/>
              <w:bottom w:val="single" w:color="auto" w:sz="4" w:space="0"/>
              <w:right w:val="single" w:color="000000" w:sz="4" w:space="0"/>
            </w:tcBorders>
            <w:noWrap/>
            <w:vAlign w:val="center"/>
          </w:tcPr>
          <w:p>
            <w:pPr>
              <w:widowControl/>
              <w:spacing w:line="330" w:lineRule="exact"/>
              <w:rPr>
                <w:rFonts w:ascii="仿宋_GB2312" w:hAnsi="仿宋_GB2312" w:cs="仿宋_GB2312"/>
                <w:kern w:val="0"/>
                <w:sz w:val="24"/>
                <w:szCs w:val="24"/>
              </w:rPr>
            </w:pPr>
            <w:r>
              <w:rPr>
                <w:rFonts w:hint="eastAsia" w:ascii="仿宋_GB2312" w:hAnsi="仿宋_GB2312" w:cs="仿宋_GB2312"/>
                <w:kern w:val="0"/>
                <w:sz w:val="24"/>
                <w:szCs w:val="24"/>
              </w:rPr>
              <w:t>24</w:t>
            </w:r>
          </w:p>
        </w:tc>
        <w:tc>
          <w:tcPr>
            <w:tcW w:w="1240" w:type="dxa"/>
            <w:tcBorders>
              <w:top w:val="single" w:color="auto" w:sz="4" w:space="0"/>
              <w:left w:val="nil"/>
              <w:bottom w:val="single" w:color="auto" w:sz="4" w:space="0"/>
              <w:right w:val="single" w:color="000000" w:sz="4" w:space="0"/>
            </w:tcBorders>
            <w:vAlign w:val="center"/>
          </w:tcPr>
          <w:p>
            <w:pPr>
              <w:widowControl/>
              <w:spacing w:line="330" w:lineRule="exact"/>
              <w:rPr>
                <w:rFonts w:ascii="仿宋_GB2312" w:hAnsi="仿宋_GB2312" w:cs="仿宋_GB2312"/>
                <w:kern w:val="0"/>
                <w:sz w:val="24"/>
                <w:szCs w:val="24"/>
              </w:rPr>
            </w:pPr>
            <w:r>
              <w:rPr>
                <w:rFonts w:hint="eastAsia" w:ascii="仿宋_GB2312" w:hAnsi="仿宋_GB2312" w:cs="仿宋_GB2312"/>
                <w:kern w:val="0"/>
                <w:sz w:val="24"/>
                <w:szCs w:val="24"/>
              </w:rPr>
              <w:t>“智慧法院”现代化审判体系</w:t>
            </w:r>
          </w:p>
        </w:tc>
        <w:tc>
          <w:tcPr>
            <w:tcW w:w="5954" w:type="dxa"/>
            <w:tcBorders>
              <w:top w:val="single" w:color="auto" w:sz="4" w:space="0"/>
              <w:left w:val="nil"/>
              <w:bottom w:val="single" w:color="auto" w:sz="4" w:space="0"/>
              <w:right w:val="single" w:color="000000" w:sz="4" w:space="0"/>
            </w:tcBorders>
            <w:vAlign w:val="center"/>
          </w:tcPr>
          <w:p>
            <w:pPr>
              <w:widowControl/>
              <w:spacing w:line="330" w:lineRule="exact"/>
              <w:rPr>
                <w:rFonts w:ascii="仿宋_GB2312" w:hAnsi="仿宋_GB2312" w:cs="仿宋_GB2312"/>
                <w:kern w:val="0"/>
                <w:sz w:val="24"/>
                <w:szCs w:val="24"/>
              </w:rPr>
            </w:pPr>
            <w:r>
              <w:rPr>
                <w:rFonts w:hint="eastAsia" w:ascii="仿宋_GB2312" w:hAnsi="仿宋_GB2312" w:cs="仿宋_GB2312"/>
                <w:kern w:val="0"/>
                <w:sz w:val="24"/>
                <w:szCs w:val="24"/>
              </w:rPr>
              <w:t>以互联网、大数据、区块链、5G等技术体系为驱动，全面推进智慧法院建设。探索电子诉讼平台深度运用，全面实施网上立案、在线诉讼辅导、在线调解、在线司法确认、在线文书送达等诉讼程序，实现了更加及时精准的诉讼服务。将信息采集、在线查阅、在线审判、文书制作、案件执行等环节全部纳入线上办理，依托“大数据+区块链”技术，保障法院电子卷宗随案同步生成，实现简约化、无纸化审判。依托5G环境支撑，建设数字化法庭，配备智能庭审、语音识别和庭审直播模块。</w:t>
            </w:r>
          </w:p>
        </w:tc>
        <w:tc>
          <w:tcPr>
            <w:tcW w:w="979" w:type="dxa"/>
            <w:tcBorders>
              <w:top w:val="single" w:color="auto" w:sz="4" w:space="0"/>
              <w:left w:val="nil"/>
              <w:bottom w:val="single" w:color="auto" w:sz="4" w:space="0"/>
              <w:right w:val="single" w:color="000000" w:sz="4" w:space="0"/>
            </w:tcBorders>
            <w:vAlign w:val="center"/>
          </w:tcPr>
          <w:p>
            <w:pPr>
              <w:widowControl/>
              <w:spacing w:line="330" w:lineRule="exact"/>
              <w:rPr>
                <w:rFonts w:ascii="仿宋_GB2312" w:hAnsi="仿宋_GB2312" w:cs="仿宋_GB2312"/>
                <w:kern w:val="0"/>
                <w:sz w:val="24"/>
                <w:szCs w:val="24"/>
              </w:rPr>
            </w:pPr>
            <w:r>
              <w:rPr>
                <w:rFonts w:hint="eastAsia" w:ascii="仿宋_GB2312" w:hAnsi="仿宋_GB2312" w:cs="仿宋_GB2312"/>
                <w:kern w:val="0"/>
                <w:sz w:val="24"/>
                <w:szCs w:val="24"/>
              </w:rPr>
              <w:t>市中级人民法院</w:t>
            </w:r>
          </w:p>
        </w:tc>
        <w:tc>
          <w:tcPr>
            <w:tcW w:w="849" w:type="dxa"/>
            <w:tcBorders>
              <w:top w:val="single" w:color="auto" w:sz="4" w:space="0"/>
              <w:left w:val="nil"/>
              <w:bottom w:val="single" w:color="auto" w:sz="4" w:space="0"/>
              <w:right w:val="single" w:color="auto" w:sz="4" w:space="0"/>
            </w:tcBorders>
            <w:vAlign w:val="center"/>
          </w:tcPr>
          <w:p>
            <w:pPr>
              <w:widowControl/>
              <w:spacing w:line="330" w:lineRule="exact"/>
              <w:rPr>
                <w:rFonts w:ascii="仿宋_GB2312" w:hAnsi="仿宋_GB2312" w:cs="仿宋_GB2312"/>
                <w:kern w:val="0"/>
                <w:sz w:val="24"/>
                <w:szCs w:val="24"/>
              </w:rPr>
            </w:pPr>
            <w:r>
              <w:rPr>
                <w:rFonts w:hint="eastAsia" w:ascii="仿宋_GB2312" w:hAnsi="仿宋_GB2312" w:cs="仿宋_GB2312"/>
                <w:kern w:val="0"/>
                <w:sz w:val="24"/>
                <w:szCs w:val="24"/>
              </w:rPr>
              <w:t>全市</w:t>
            </w:r>
          </w:p>
        </w:tc>
      </w:tr>
      <w:tr>
        <w:tblPrEx>
          <w:tblCellMar>
            <w:top w:w="0" w:type="dxa"/>
            <w:left w:w="108" w:type="dxa"/>
            <w:bottom w:w="0" w:type="dxa"/>
            <w:right w:w="108" w:type="dxa"/>
          </w:tblCellMar>
        </w:tblPrEx>
        <w:trPr>
          <w:trHeight w:val="2378" w:hRule="atLeast"/>
          <w:jc w:val="center"/>
        </w:trPr>
        <w:tc>
          <w:tcPr>
            <w:tcW w:w="456" w:type="dxa"/>
            <w:tcBorders>
              <w:top w:val="single" w:color="auto" w:sz="4" w:space="0"/>
              <w:left w:val="single" w:color="000000" w:sz="4" w:space="0"/>
              <w:bottom w:val="single" w:color="000000" w:sz="4" w:space="0"/>
              <w:right w:val="single" w:color="000000" w:sz="4" w:space="0"/>
            </w:tcBorders>
            <w:noWrap/>
            <w:vAlign w:val="center"/>
          </w:tcPr>
          <w:p>
            <w:pPr>
              <w:widowControl/>
              <w:spacing w:line="330" w:lineRule="exact"/>
              <w:rPr>
                <w:rFonts w:ascii="仿宋_GB2312" w:hAnsi="仿宋_GB2312" w:cs="仿宋_GB2312"/>
                <w:kern w:val="0"/>
                <w:sz w:val="24"/>
                <w:szCs w:val="24"/>
              </w:rPr>
            </w:pPr>
            <w:r>
              <w:rPr>
                <w:rFonts w:hint="eastAsia" w:ascii="仿宋_GB2312" w:hAnsi="仿宋_GB2312" w:cs="仿宋_GB2312"/>
                <w:kern w:val="0"/>
                <w:sz w:val="24"/>
                <w:szCs w:val="24"/>
              </w:rPr>
              <w:t>25</w:t>
            </w:r>
          </w:p>
        </w:tc>
        <w:tc>
          <w:tcPr>
            <w:tcW w:w="1240" w:type="dxa"/>
            <w:tcBorders>
              <w:top w:val="single" w:color="auto" w:sz="4" w:space="0"/>
              <w:left w:val="nil"/>
              <w:bottom w:val="single" w:color="000000" w:sz="4" w:space="0"/>
              <w:right w:val="single" w:color="000000" w:sz="4" w:space="0"/>
            </w:tcBorders>
            <w:vAlign w:val="center"/>
          </w:tcPr>
          <w:p>
            <w:pPr>
              <w:widowControl/>
              <w:spacing w:line="330" w:lineRule="exact"/>
              <w:rPr>
                <w:rFonts w:ascii="仿宋_GB2312" w:hAnsi="仿宋_GB2312" w:cs="仿宋_GB2312"/>
                <w:kern w:val="0"/>
                <w:sz w:val="24"/>
                <w:szCs w:val="24"/>
              </w:rPr>
            </w:pPr>
            <w:r>
              <w:rPr>
                <w:rFonts w:hint="eastAsia" w:ascii="仿宋_GB2312" w:hAnsi="仿宋_GB2312" w:cs="仿宋_GB2312"/>
                <w:kern w:val="0"/>
                <w:sz w:val="24"/>
                <w:szCs w:val="24"/>
              </w:rPr>
              <w:t>家庭公证顾问服务模式</w:t>
            </w:r>
          </w:p>
        </w:tc>
        <w:tc>
          <w:tcPr>
            <w:tcW w:w="5954" w:type="dxa"/>
            <w:tcBorders>
              <w:top w:val="single" w:color="auto" w:sz="4" w:space="0"/>
              <w:left w:val="nil"/>
              <w:bottom w:val="single" w:color="000000" w:sz="4" w:space="0"/>
              <w:right w:val="single" w:color="000000" w:sz="4" w:space="0"/>
            </w:tcBorders>
            <w:vAlign w:val="center"/>
          </w:tcPr>
          <w:p>
            <w:pPr>
              <w:widowControl/>
              <w:spacing w:line="330" w:lineRule="exact"/>
              <w:rPr>
                <w:rFonts w:ascii="仿宋_GB2312" w:hAnsi="仿宋_GB2312" w:cs="仿宋_GB2312"/>
                <w:kern w:val="0"/>
                <w:sz w:val="24"/>
                <w:szCs w:val="24"/>
              </w:rPr>
            </w:pPr>
            <w:r>
              <w:rPr>
                <w:rFonts w:hint="eastAsia" w:ascii="仿宋_GB2312" w:hAnsi="仿宋_GB2312" w:cs="仿宋_GB2312"/>
                <w:kern w:val="0"/>
                <w:sz w:val="24"/>
                <w:szCs w:val="24"/>
              </w:rPr>
              <w:t>推出家庭公证顾问服务，市民可根据需要在公证处填写申请表，自愿选择或由公证处推荐自己家庭专属的家庭顾问公证员，获取《家庭公证顾问便民服务卡》。家庭公证顾问由一线执业公证员担任，为每一个申请家庭建立家庭公证档案，可提供出生日期、婚姻状况、亲属关系、监护、委托监护、学历学位、工作经历、收入证明、存款证明、营业执照、房产权属证书及其他财产凭证公证和委托书、婚前财产约定、夫妻财产协议等公证服务。</w:t>
            </w:r>
          </w:p>
        </w:tc>
        <w:tc>
          <w:tcPr>
            <w:tcW w:w="979" w:type="dxa"/>
            <w:tcBorders>
              <w:top w:val="single" w:color="auto" w:sz="4" w:space="0"/>
              <w:left w:val="nil"/>
              <w:bottom w:val="single" w:color="000000" w:sz="4" w:space="0"/>
              <w:right w:val="single" w:color="000000" w:sz="4" w:space="0"/>
            </w:tcBorders>
            <w:vAlign w:val="center"/>
          </w:tcPr>
          <w:p>
            <w:pPr>
              <w:widowControl/>
              <w:spacing w:line="330" w:lineRule="exact"/>
              <w:rPr>
                <w:rFonts w:ascii="仿宋_GB2312" w:hAnsi="仿宋_GB2312" w:cs="仿宋_GB2312"/>
                <w:kern w:val="0"/>
                <w:sz w:val="24"/>
                <w:szCs w:val="24"/>
              </w:rPr>
            </w:pPr>
            <w:r>
              <w:rPr>
                <w:rFonts w:hint="eastAsia" w:ascii="仿宋_GB2312" w:hAnsi="仿宋_GB2312" w:cs="仿宋_GB2312"/>
                <w:kern w:val="0"/>
                <w:sz w:val="24"/>
                <w:szCs w:val="24"/>
              </w:rPr>
              <w:t>市司法局</w:t>
            </w:r>
          </w:p>
        </w:tc>
        <w:tc>
          <w:tcPr>
            <w:tcW w:w="849" w:type="dxa"/>
            <w:tcBorders>
              <w:top w:val="single" w:color="auto" w:sz="4" w:space="0"/>
              <w:left w:val="nil"/>
              <w:bottom w:val="single" w:color="000000" w:sz="4" w:space="0"/>
              <w:right w:val="single" w:color="000000" w:sz="4" w:space="0"/>
            </w:tcBorders>
            <w:vAlign w:val="center"/>
          </w:tcPr>
          <w:p>
            <w:pPr>
              <w:widowControl/>
              <w:spacing w:line="330" w:lineRule="exact"/>
              <w:rPr>
                <w:rFonts w:ascii="仿宋_GB2312" w:hAnsi="仿宋_GB2312" w:cs="仿宋_GB2312"/>
                <w:kern w:val="0"/>
                <w:sz w:val="24"/>
                <w:szCs w:val="24"/>
              </w:rPr>
            </w:pPr>
            <w:r>
              <w:rPr>
                <w:rFonts w:hint="eastAsia" w:ascii="仿宋_GB2312" w:hAnsi="仿宋_GB2312" w:cs="仿宋_GB2312"/>
                <w:kern w:val="0"/>
                <w:sz w:val="24"/>
                <w:szCs w:val="24"/>
              </w:rPr>
              <w:t>全市</w:t>
            </w:r>
          </w:p>
        </w:tc>
      </w:tr>
      <w:tr>
        <w:tblPrEx>
          <w:tblCellMar>
            <w:top w:w="0" w:type="dxa"/>
            <w:left w:w="108" w:type="dxa"/>
            <w:bottom w:w="0" w:type="dxa"/>
            <w:right w:w="108" w:type="dxa"/>
          </w:tblCellMar>
        </w:tblPrEx>
        <w:trPr>
          <w:trHeight w:val="2763" w:hRule="atLeast"/>
          <w:jc w:val="center"/>
        </w:trPr>
        <w:tc>
          <w:tcPr>
            <w:tcW w:w="456" w:type="dxa"/>
            <w:tcBorders>
              <w:top w:val="nil"/>
              <w:left w:val="single" w:color="000000" w:sz="4" w:space="0"/>
              <w:bottom w:val="single" w:color="000000" w:sz="4" w:space="0"/>
              <w:right w:val="single" w:color="000000" w:sz="4" w:space="0"/>
            </w:tcBorders>
            <w:noWrap/>
            <w:vAlign w:val="center"/>
          </w:tcPr>
          <w:p>
            <w:pPr>
              <w:widowControl/>
              <w:spacing w:line="330" w:lineRule="exact"/>
              <w:rPr>
                <w:rFonts w:ascii="仿宋_GB2312" w:hAnsi="仿宋_GB2312" w:cs="仿宋_GB2312"/>
                <w:kern w:val="0"/>
                <w:sz w:val="24"/>
                <w:szCs w:val="24"/>
              </w:rPr>
            </w:pPr>
            <w:r>
              <w:rPr>
                <w:rFonts w:hint="eastAsia" w:ascii="仿宋_GB2312" w:hAnsi="仿宋_GB2312" w:cs="仿宋_GB2312"/>
                <w:kern w:val="0"/>
                <w:sz w:val="24"/>
                <w:szCs w:val="24"/>
              </w:rPr>
              <w:t>26</w:t>
            </w:r>
          </w:p>
        </w:tc>
        <w:tc>
          <w:tcPr>
            <w:tcW w:w="1240" w:type="dxa"/>
            <w:tcBorders>
              <w:top w:val="nil"/>
              <w:left w:val="nil"/>
              <w:bottom w:val="single" w:color="000000" w:sz="4" w:space="0"/>
              <w:right w:val="single" w:color="000000" w:sz="4" w:space="0"/>
            </w:tcBorders>
            <w:vAlign w:val="center"/>
          </w:tcPr>
          <w:p>
            <w:pPr>
              <w:widowControl/>
              <w:spacing w:line="330" w:lineRule="exact"/>
              <w:rPr>
                <w:rFonts w:ascii="仿宋_GB2312" w:hAnsi="仿宋_GB2312" w:cs="仿宋_GB2312"/>
                <w:kern w:val="0"/>
                <w:sz w:val="24"/>
                <w:szCs w:val="24"/>
              </w:rPr>
            </w:pPr>
            <w:r>
              <w:rPr>
                <w:rFonts w:hint="eastAsia" w:ascii="仿宋_GB2312" w:hAnsi="仿宋_GB2312" w:cs="仿宋_GB2312"/>
                <w:kern w:val="0"/>
                <w:sz w:val="24"/>
                <w:szCs w:val="24"/>
              </w:rPr>
              <w:t>创新线上跨境调解机制</w:t>
            </w:r>
          </w:p>
        </w:tc>
        <w:tc>
          <w:tcPr>
            <w:tcW w:w="5954" w:type="dxa"/>
            <w:tcBorders>
              <w:top w:val="nil"/>
              <w:left w:val="nil"/>
              <w:bottom w:val="single" w:color="000000" w:sz="4" w:space="0"/>
              <w:right w:val="single" w:color="000000" w:sz="4" w:space="0"/>
            </w:tcBorders>
            <w:vAlign w:val="center"/>
          </w:tcPr>
          <w:p>
            <w:pPr>
              <w:widowControl/>
              <w:spacing w:line="330" w:lineRule="exact"/>
              <w:rPr>
                <w:rFonts w:ascii="仿宋_GB2312" w:hAnsi="仿宋_GB2312" w:cs="仿宋_GB2312"/>
                <w:kern w:val="0"/>
                <w:sz w:val="24"/>
                <w:szCs w:val="24"/>
              </w:rPr>
            </w:pPr>
            <w:r>
              <w:rPr>
                <w:rFonts w:hint="eastAsia" w:ascii="仿宋_GB2312" w:hAnsi="仿宋_GB2312" w:cs="仿宋_GB2312"/>
                <w:kern w:val="0"/>
                <w:sz w:val="24"/>
                <w:szCs w:val="24"/>
              </w:rPr>
              <w:t>依托法院“融平台”对全部调解案件实行云管理，为在册特邀调解员开通融平台账号，港澳地区调解员无须前往法院，可以在境外通过登录平台进行远程案件接受和管理。港澳地区调解员根据不同地区当事人不同通讯习惯，活用电子邮件、微信、WhatsApp等域内外各类社交软件开展线上调解工作。借助5G技术实现在线司法确认，当事人在调解员主持下，确认符合法律规定的调解协议，实现法院、当事人、特邀调解员同时在线司法确认。</w:t>
            </w:r>
          </w:p>
        </w:tc>
        <w:tc>
          <w:tcPr>
            <w:tcW w:w="979" w:type="dxa"/>
            <w:tcBorders>
              <w:top w:val="nil"/>
              <w:left w:val="nil"/>
              <w:bottom w:val="single" w:color="000000" w:sz="4" w:space="0"/>
              <w:right w:val="single" w:color="000000" w:sz="4" w:space="0"/>
            </w:tcBorders>
            <w:vAlign w:val="center"/>
          </w:tcPr>
          <w:p>
            <w:pPr>
              <w:widowControl/>
              <w:spacing w:line="330" w:lineRule="exact"/>
              <w:rPr>
                <w:rFonts w:ascii="仿宋_GB2312" w:hAnsi="仿宋_GB2312" w:cs="仿宋_GB2312"/>
                <w:kern w:val="0"/>
                <w:sz w:val="24"/>
                <w:szCs w:val="24"/>
              </w:rPr>
            </w:pPr>
            <w:r>
              <w:rPr>
                <w:rFonts w:hint="eastAsia" w:ascii="仿宋_GB2312" w:hAnsi="仿宋_GB2312" w:cs="仿宋_GB2312"/>
                <w:kern w:val="0"/>
                <w:sz w:val="24"/>
                <w:szCs w:val="24"/>
              </w:rPr>
              <w:t>市中级人民法院</w:t>
            </w:r>
          </w:p>
        </w:tc>
        <w:tc>
          <w:tcPr>
            <w:tcW w:w="849" w:type="dxa"/>
            <w:tcBorders>
              <w:top w:val="nil"/>
              <w:left w:val="nil"/>
              <w:bottom w:val="single" w:color="000000" w:sz="4" w:space="0"/>
              <w:right w:val="single" w:color="000000" w:sz="4" w:space="0"/>
            </w:tcBorders>
            <w:vAlign w:val="center"/>
          </w:tcPr>
          <w:p>
            <w:pPr>
              <w:widowControl/>
              <w:spacing w:line="330" w:lineRule="exact"/>
              <w:rPr>
                <w:rFonts w:ascii="仿宋_GB2312" w:hAnsi="仿宋_GB2312" w:cs="仿宋_GB2312"/>
                <w:kern w:val="0"/>
                <w:sz w:val="24"/>
                <w:szCs w:val="24"/>
              </w:rPr>
            </w:pPr>
            <w:r>
              <w:rPr>
                <w:rFonts w:hint="eastAsia" w:ascii="仿宋_GB2312" w:hAnsi="仿宋_GB2312" w:cs="仿宋_GB2312"/>
                <w:kern w:val="0"/>
                <w:sz w:val="24"/>
                <w:szCs w:val="24"/>
              </w:rPr>
              <w:t>全市</w:t>
            </w:r>
          </w:p>
        </w:tc>
      </w:tr>
      <w:tr>
        <w:tblPrEx>
          <w:tblCellMar>
            <w:top w:w="0" w:type="dxa"/>
            <w:left w:w="108" w:type="dxa"/>
            <w:bottom w:w="0" w:type="dxa"/>
            <w:right w:w="108" w:type="dxa"/>
          </w:tblCellMar>
        </w:tblPrEx>
        <w:trPr>
          <w:trHeight w:val="3288" w:hRule="atLeast"/>
          <w:jc w:val="center"/>
        </w:trPr>
        <w:tc>
          <w:tcPr>
            <w:tcW w:w="456" w:type="dxa"/>
            <w:tcBorders>
              <w:top w:val="nil"/>
              <w:left w:val="single" w:color="000000" w:sz="4" w:space="0"/>
              <w:bottom w:val="single" w:color="auto" w:sz="4" w:space="0"/>
              <w:right w:val="single" w:color="000000" w:sz="4" w:space="0"/>
            </w:tcBorders>
            <w:noWrap/>
            <w:vAlign w:val="center"/>
          </w:tcPr>
          <w:p>
            <w:pPr>
              <w:widowControl/>
              <w:spacing w:line="330" w:lineRule="exact"/>
              <w:rPr>
                <w:rFonts w:ascii="仿宋_GB2312" w:hAnsi="仿宋_GB2312" w:cs="仿宋_GB2312"/>
                <w:kern w:val="0"/>
                <w:sz w:val="24"/>
                <w:szCs w:val="24"/>
              </w:rPr>
            </w:pPr>
            <w:r>
              <w:rPr>
                <w:rFonts w:hint="eastAsia" w:ascii="仿宋_GB2312" w:hAnsi="仿宋_GB2312" w:cs="仿宋_GB2312"/>
                <w:kern w:val="0"/>
                <w:sz w:val="24"/>
                <w:szCs w:val="24"/>
              </w:rPr>
              <w:t>27</w:t>
            </w:r>
          </w:p>
        </w:tc>
        <w:tc>
          <w:tcPr>
            <w:tcW w:w="1240" w:type="dxa"/>
            <w:tcBorders>
              <w:top w:val="nil"/>
              <w:left w:val="nil"/>
              <w:bottom w:val="single" w:color="auto" w:sz="4" w:space="0"/>
              <w:right w:val="single" w:color="000000" w:sz="4" w:space="0"/>
            </w:tcBorders>
            <w:vAlign w:val="center"/>
          </w:tcPr>
          <w:p>
            <w:pPr>
              <w:widowControl/>
              <w:spacing w:line="330" w:lineRule="exact"/>
              <w:rPr>
                <w:rFonts w:ascii="仿宋_GB2312" w:hAnsi="仿宋_GB2312" w:cs="仿宋_GB2312"/>
                <w:kern w:val="0"/>
                <w:sz w:val="24"/>
                <w:szCs w:val="24"/>
              </w:rPr>
            </w:pPr>
            <w:r>
              <w:rPr>
                <w:rFonts w:hint="eastAsia" w:ascii="仿宋_GB2312" w:hAnsi="仿宋_GB2312" w:cs="仿宋_GB2312"/>
                <w:kern w:val="0"/>
                <w:sz w:val="24"/>
                <w:szCs w:val="24"/>
              </w:rPr>
              <w:t>“链上”金融审判体系</w:t>
            </w:r>
          </w:p>
        </w:tc>
        <w:tc>
          <w:tcPr>
            <w:tcW w:w="5954" w:type="dxa"/>
            <w:tcBorders>
              <w:top w:val="nil"/>
              <w:left w:val="nil"/>
              <w:bottom w:val="single" w:color="auto" w:sz="4" w:space="0"/>
              <w:right w:val="single" w:color="000000" w:sz="4" w:space="0"/>
            </w:tcBorders>
            <w:vAlign w:val="center"/>
          </w:tcPr>
          <w:p>
            <w:pPr>
              <w:widowControl/>
              <w:spacing w:line="330" w:lineRule="exact"/>
              <w:rPr>
                <w:rFonts w:ascii="仿宋_GB2312" w:hAnsi="仿宋_GB2312" w:cs="仿宋_GB2312"/>
                <w:kern w:val="0"/>
                <w:sz w:val="24"/>
                <w:szCs w:val="24"/>
              </w:rPr>
            </w:pPr>
            <w:r>
              <w:rPr>
                <w:rFonts w:hint="eastAsia" w:ascii="仿宋_GB2312" w:hAnsi="仿宋_GB2312" w:cs="仿宋_GB2312"/>
                <w:kern w:val="0"/>
                <w:sz w:val="24"/>
                <w:szCs w:val="24"/>
              </w:rPr>
              <w:t>建设金融云审系统，将包括合同、履行、催收情况在内的交易数据，实时同步存储于链上，发生纠纷时，交易数据完整提交法院。实现当事人自助录入起诉要素立案，根据当事人意愿以电子方式送达诉讼各阶段法律文书。兼容“微法院”平台，实现庭审、调解视频自动留痕、证据线上展示、笔录电子确认等功能。根据案件事实要素，辅以令状式、表格式裁判文书的形式，智能形成裁判文书草稿。依托云审系统完善线上调解平台，引入行业、律师、专家调解等多种调解方式，实现在线签订调解协议、在线完成司法确认等功能。</w:t>
            </w:r>
          </w:p>
        </w:tc>
        <w:tc>
          <w:tcPr>
            <w:tcW w:w="979" w:type="dxa"/>
            <w:tcBorders>
              <w:top w:val="nil"/>
              <w:left w:val="nil"/>
              <w:bottom w:val="single" w:color="auto" w:sz="4" w:space="0"/>
              <w:right w:val="single" w:color="000000" w:sz="4" w:space="0"/>
            </w:tcBorders>
            <w:vAlign w:val="center"/>
          </w:tcPr>
          <w:p>
            <w:pPr>
              <w:widowControl/>
              <w:spacing w:line="330" w:lineRule="exact"/>
              <w:rPr>
                <w:rFonts w:ascii="仿宋_GB2312" w:hAnsi="仿宋_GB2312" w:cs="仿宋_GB2312"/>
                <w:kern w:val="0"/>
                <w:sz w:val="24"/>
                <w:szCs w:val="24"/>
              </w:rPr>
            </w:pPr>
            <w:r>
              <w:rPr>
                <w:rFonts w:hint="eastAsia" w:ascii="仿宋_GB2312" w:hAnsi="仿宋_GB2312" w:cs="仿宋_GB2312"/>
                <w:kern w:val="0"/>
                <w:sz w:val="24"/>
                <w:szCs w:val="24"/>
              </w:rPr>
              <w:t>市中级人民法院</w:t>
            </w:r>
          </w:p>
        </w:tc>
        <w:tc>
          <w:tcPr>
            <w:tcW w:w="849" w:type="dxa"/>
            <w:tcBorders>
              <w:top w:val="nil"/>
              <w:left w:val="nil"/>
              <w:bottom w:val="single" w:color="auto" w:sz="4" w:space="0"/>
              <w:right w:val="single" w:color="000000" w:sz="4" w:space="0"/>
            </w:tcBorders>
            <w:vAlign w:val="center"/>
          </w:tcPr>
          <w:p>
            <w:pPr>
              <w:widowControl/>
              <w:spacing w:line="330" w:lineRule="exact"/>
              <w:rPr>
                <w:rFonts w:ascii="仿宋_GB2312" w:hAnsi="仿宋_GB2312" w:cs="仿宋_GB2312"/>
                <w:kern w:val="0"/>
                <w:sz w:val="24"/>
                <w:szCs w:val="24"/>
              </w:rPr>
            </w:pPr>
            <w:r>
              <w:rPr>
                <w:rFonts w:hint="eastAsia" w:ascii="仿宋_GB2312" w:hAnsi="仿宋_GB2312" w:cs="仿宋_GB2312"/>
                <w:kern w:val="0"/>
                <w:sz w:val="24"/>
                <w:szCs w:val="24"/>
              </w:rPr>
              <w:t>全市</w:t>
            </w:r>
          </w:p>
        </w:tc>
      </w:tr>
      <w:tr>
        <w:tblPrEx>
          <w:tblCellMar>
            <w:top w:w="0" w:type="dxa"/>
            <w:left w:w="108" w:type="dxa"/>
            <w:bottom w:w="0" w:type="dxa"/>
            <w:right w:w="108" w:type="dxa"/>
          </w:tblCellMar>
        </w:tblPrEx>
        <w:trPr>
          <w:trHeight w:val="397" w:hRule="atLeast"/>
          <w:jc w:val="center"/>
        </w:trPr>
        <w:tc>
          <w:tcPr>
            <w:tcW w:w="456" w:type="dxa"/>
            <w:tcBorders>
              <w:top w:val="single" w:color="auto" w:sz="4" w:space="0"/>
              <w:left w:val="single" w:color="auto" w:sz="4" w:space="0"/>
              <w:bottom w:val="single" w:color="auto" w:sz="4" w:space="0"/>
              <w:right w:val="single" w:color="000000" w:sz="4" w:space="0"/>
            </w:tcBorders>
            <w:noWrap/>
            <w:vAlign w:val="center"/>
          </w:tcPr>
          <w:p>
            <w:pPr>
              <w:widowControl/>
              <w:spacing w:line="350" w:lineRule="exact"/>
              <w:rPr>
                <w:rFonts w:ascii="仿宋_GB2312" w:hAnsi="仿宋_GB2312" w:cs="仿宋_GB2312"/>
                <w:kern w:val="0"/>
                <w:sz w:val="24"/>
                <w:szCs w:val="24"/>
              </w:rPr>
            </w:pPr>
            <w:r>
              <w:rPr>
                <w:rFonts w:hint="eastAsia" w:ascii="仿宋_GB2312" w:hAnsi="仿宋_GB2312" w:cs="仿宋_GB2312"/>
                <w:kern w:val="0"/>
                <w:sz w:val="24"/>
                <w:szCs w:val="24"/>
              </w:rPr>
              <w:t>28</w:t>
            </w:r>
          </w:p>
        </w:tc>
        <w:tc>
          <w:tcPr>
            <w:tcW w:w="1240" w:type="dxa"/>
            <w:tcBorders>
              <w:top w:val="single" w:color="auto" w:sz="4" w:space="0"/>
              <w:left w:val="nil"/>
              <w:bottom w:val="single" w:color="auto" w:sz="4" w:space="0"/>
              <w:right w:val="single" w:color="000000" w:sz="4" w:space="0"/>
            </w:tcBorders>
            <w:vAlign w:val="center"/>
          </w:tcPr>
          <w:p>
            <w:pPr>
              <w:widowControl/>
              <w:spacing w:line="350" w:lineRule="exact"/>
              <w:rPr>
                <w:rFonts w:ascii="仿宋_GB2312" w:hAnsi="仿宋_GB2312" w:cs="仿宋_GB2312"/>
                <w:kern w:val="0"/>
                <w:sz w:val="24"/>
                <w:szCs w:val="24"/>
              </w:rPr>
            </w:pPr>
            <w:r>
              <w:rPr>
                <w:rFonts w:hint="eastAsia" w:ascii="仿宋_GB2312" w:hAnsi="仿宋_GB2312" w:cs="仿宋_GB2312"/>
                <w:kern w:val="0"/>
                <w:sz w:val="24"/>
                <w:szCs w:val="24"/>
              </w:rPr>
              <w:t>诚信企业司法激励机制</w:t>
            </w:r>
          </w:p>
        </w:tc>
        <w:tc>
          <w:tcPr>
            <w:tcW w:w="5954" w:type="dxa"/>
            <w:tcBorders>
              <w:top w:val="single" w:color="auto" w:sz="4" w:space="0"/>
              <w:left w:val="nil"/>
              <w:bottom w:val="single" w:color="auto" w:sz="4" w:space="0"/>
              <w:right w:val="single" w:color="000000" w:sz="4" w:space="0"/>
            </w:tcBorders>
            <w:vAlign w:val="center"/>
          </w:tcPr>
          <w:p>
            <w:pPr>
              <w:widowControl/>
              <w:spacing w:line="350" w:lineRule="exact"/>
              <w:rPr>
                <w:rFonts w:ascii="仿宋_GB2312" w:hAnsi="仿宋_GB2312" w:cs="仿宋_GB2312"/>
                <w:kern w:val="0"/>
                <w:sz w:val="24"/>
                <w:szCs w:val="24"/>
              </w:rPr>
            </w:pPr>
            <w:r>
              <w:rPr>
                <w:rFonts w:hint="eastAsia" w:ascii="仿宋_GB2312" w:hAnsi="仿宋_GB2312" w:cs="仿宋_GB2312"/>
                <w:kern w:val="0"/>
                <w:sz w:val="24"/>
                <w:szCs w:val="24"/>
              </w:rPr>
              <w:t>建立诚信企业清单共享机制，信用主管单位从失信违规、经营情况、荣誉成果、关联风险、舆情信息等五个维度，评定出信用A类企业并建立信息共享机制，与法院及时共享诚信企业清单。完善诚信企业司法激励机制，法院在符合条件的情况下，对于被认定为信用A类且无不良司法记录的企业，在执行过程中将采取更灵活温和的执行措施。</w:t>
            </w:r>
          </w:p>
        </w:tc>
        <w:tc>
          <w:tcPr>
            <w:tcW w:w="979" w:type="dxa"/>
            <w:tcBorders>
              <w:top w:val="single" w:color="auto" w:sz="4" w:space="0"/>
              <w:left w:val="nil"/>
              <w:bottom w:val="single" w:color="auto" w:sz="4" w:space="0"/>
              <w:right w:val="single" w:color="000000" w:sz="4" w:space="0"/>
            </w:tcBorders>
            <w:vAlign w:val="center"/>
          </w:tcPr>
          <w:p>
            <w:pPr>
              <w:widowControl/>
              <w:spacing w:line="350" w:lineRule="exact"/>
              <w:rPr>
                <w:rFonts w:ascii="仿宋_GB2312" w:hAnsi="仿宋_GB2312" w:cs="仿宋_GB2312"/>
                <w:kern w:val="0"/>
                <w:sz w:val="24"/>
                <w:szCs w:val="24"/>
              </w:rPr>
            </w:pPr>
            <w:r>
              <w:rPr>
                <w:rFonts w:hint="eastAsia" w:ascii="仿宋_GB2312" w:hAnsi="仿宋_GB2312" w:cs="仿宋_GB2312"/>
                <w:kern w:val="0"/>
                <w:sz w:val="24"/>
                <w:szCs w:val="24"/>
              </w:rPr>
              <w:t>市中级人民法院</w:t>
            </w:r>
          </w:p>
        </w:tc>
        <w:tc>
          <w:tcPr>
            <w:tcW w:w="849" w:type="dxa"/>
            <w:tcBorders>
              <w:top w:val="single" w:color="auto" w:sz="4" w:space="0"/>
              <w:left w:val="nil"/>
              <w:bottom w:val="single" w:color="auto" w:sz="4" w:space="0"/>
              <w:right w:val="single" w:color="auto" w:sz="4" w:space="0"/>
            </w:tcBorders>
            <w:vAlign w:val="center"/>
          </w:tcPr>
          <w:p>
            <w:pPr>
              <w:widowControl/>
              <w:spacing w:line="350" w:lineRule="exact"/>
              <w:rPr>
                <w:rFonts w:ascii="仿宋_GB2312" w:hAnsi="仿宋_GB2312" w:cs="仿宋_GB2312"/>
                <w:kern w:val="0"/>
                <w:sz w:val="24"/>
                <w:szCs w:val="24"/>
              </w:rPr>
            </w:pPr>
            <w:r>
              <w:rPr>
                <w:rFonts w:hint="eastAsia" w:ascii="仿宋_GB2312" w:hAnsi="仿宋_GB2312" w:cs="仿宋_GB2312"/>
                <w:kern w:val="0"/>
                <w:sz w:val="24"/>
                <w:szCs w:val="24"/>
              </w:rPr>
              <w:t>全市</w:t>
            </w:r>
          </w:p>
        </w:tc>
      </w:tr>
      <w:tr>
        <w:tblPrEx>
          <w:tblCellMar>
            <w:top w:w="0" w:type="dxa"/>
            <w:left w:w="108" w:type="dxa"/>
            <w:bottom w:w="0" w:type="dxa"/>
            <w:right w:w="108" w:type="dxa"/>
          </w:tblCellMar>
        </w:tblPrEx>
        <w:trPr>
          <w:trHeight w:val="397" w:hRule="atLeast"/>
          <w:jc w:val="center"/>
        </w:trPr>
        <w:tc>
          <w:tcPr>
            <w:tcW w:w="456" w:type="dxa"/>
            <w:tcBorders>
              <w:top w:val="single" w:color="auto" w:sz="4" w:space="0"/>
              <w:left w:val="single" w:color="000000" w:sz="4" w:space="0"/>
              <w:bottom w:val="single" w:color="000000" w:sz="4" w:space="0"/>
              <w:right w:val="single" w:color="000000" w:sz="4" w:space="0"/>
            </w:tcBorders>
            <w:noWrap/>
            <w:vAlign w:val="center"/>
          </w:tcPr>
          <w:p>
            <w:pPr>
              <w:widowControl/>
              <w:spacing w:line="350" w:lineRule="exact"/>
              <w:rPr>
                <w:rFonts w:ascii="仿宋_GB2312" w:hAnsi="仿宋_GB2312" w:cs="仿宋_GB2312"/>
                <w:kern w:val="0"/>
                <w:sz w:val="24"/>
                <w:szCs w:val="24"/>
              </w:rPr>
            </w:pPr>
            <w:r>
              <w:rPr>
                <w:rFonts w:hint="eastAsia" w:ascii="仿宋_GB2312" w:hAnsi="仿宋_GB2312" w:cs="仿宋_GB2312"/>
                <w:kern w:val="0"/>
                <w:sz w:val="24"/>
                <w:szCs w:val="24"/>
              </w:rPr>
              <w:t>29</w:t>
            </w:r>
          </w:p>
        </w:tc>
        <w:tc>
          <w:tcPr>
            <w:tcW w:w="1240" w:type="dxa"/>
            <w:tcBorders>
              <w:top w:val="single" w:color="auto" w:sz="4" w:space="0"/>
              <w:left w:val="nil"/>
              <w:bottom w:val="single" w:color="000000" w:sz="4" w:space="0"/>
              <w:right w:val="single" w:color="000000" w:sz="4" w:space="0"/>
            </w:tcBorders>
            <w:vAlign w:val="center"/>
          </w:tcPr>
          <w:p>
            <w:pPr>
              <w:widowControl/>
              <w:spacing w:line="350" w:lineRule="exact"/>
              <w:rPr>
                <w:rFonts w:ascii="仿宋_GB2312" w:hAnsi="仿宋_GB2312" w:cs="仿宋_GB2312"/>
                <w:kern w:val="0"/>
                <w:sz w:val="24"/>
                <w:szCs w:val="24"/>
              </w:rPr>
            </w:pPr>
            <w:r>
              <w:rPr>
                <w:rFonts w:hint="eastAsia" w:ascii="仿宋_GB2312" w:hAnsi="仿宋_GB2312" w:cs="仿宋_GB2312"/>
                <w:kern w:val="0"/>
                <w:sz w:val="24"/>
                <w:szCs w:val="24"/>
              </w:rPr>
              <w:t>区块链线上公证选房系统</w:t>
            </w:r>
          </w:p>
        </w:tc>
        <w:tc>
          <w:tcPr>
            <w:tcW w:w="5954" w:type="dxa"/>
            <w:tcBorders>
              <w:top w:val="single" w:color="auto" w:sz="4" w:space="0"/>
              <w:left w:val="nil"/>
              <w:bottom w:val="single" w:color="000000" w:sz="4" w:space="0"/>
              <w:right w:val="single" w:color="000000" w:sz="4" w:space="0"/>
            </w:tcBorders>
            <w:vAlign w:val="center"/>
          </w:tcPr>
          <w:p>
            <w:pPr>
              <w:widowControl/>
              <w:spacing w:line="350" w:lineRule="exact"/>
              <w:rPr>
                <w:rFonts w:ascii="仿宋_GB2312" w:hAnsi="仿宋_GB2312" w:cs="仿宋_GB2312"/>
                <w:kern w:val="0"/>
                <w:sz w:val="24"/>
                <w:szCs w:val="24"/>
              </w:rPr>
            </w:pPr>
            <w:r>
              <w:rPr>
                <w:rFonts w:hint="eastAsia" w:ascii="仿宋_GB2312" w:hAnsi="仿宋_GB2312" w:cs="仿宋_GB2312"/>
                <w:kern w:val="0"/>
                <w:sz w:val="24"/>
                <w:szCs w:val="24"/>
              </w:rPr>
              <w:t>公证机构根据申请，协助房地产开发商拟定商品房销售流程、规则、公告。开发商通过线上认筹，收集意向资料并进行审核、登记，公示无异议后将认筹名册提交公证机构查重去重，后采用公证摇号软件系统，对认筹名单进行公证摇号排序，确定意向购房人选房购房先后顺序，并将意向购房人身份信息导入区块链公证选房系统。各意向购房人在系统按公证摇号排序顺序，依次选房，在线完成认购书等相关购房手续资料，相关信息实时上传区块链并电子存证。</w:t>
            </w:r>
          </w:p>
        </w:tc>
        <w:tc>
          <w:tcPr>
            <w:tcW w:w="979" w:type="dxa"/>
            <w:tcBorders>
              <w:top w:val="single" w:color="auto" w:sz="4" w:space="0"/>
              <w:left w:val="nil"/>
              <w:bottom w:val="single" w:color="000000" w:sz="4" w:space="0"/>
              <w:right w:val="single" w:color="000000" w:sz="4" w:space="0"/>
            </w:tcBorders>
            <w:vAlign w:val="center"/>
          </w:tcPr>
          <w:p>
            <w:pPr>
              <w:widowControl/>
              <w:spacing w:line="350" w:lineRule="exact"/>
              <w:rPr>
                <w:rFonts w:ascii="仿宋_GB2312" w:hAnsi="仿宋_GB2312" w:cs="仿宋_GB2312"/>
                <w:kern w:val="0"/>
                <w:sz w:val="24"/>
                <w:szCs w:val="24"/>
              </w:rPr>
            </w:pPr>
            <w:r>
              <w:rPr>
                <w:rFonts w:hint="eastAsia" w:ascii="仿宋_GB2312" w:hAnsi="仿宋_GB2312" w:cs="仿宋_GB2312"/>
                <w:kern w:val="0"/>
                <w:sz w:val="24"/>
                <w:szCs w:val="24"/>
              </w:rPr>
              <w:t>市司法局、市住房建设局</w:t>
            </w:r>
          </w:p>
        </w:tc>
        <w:tc>
          <w:tcPr>
            <w:tcW w:w="849" w:type="dxa"/>
            <w:tcBorders>
              <w:top w:val="single" w:color="auto" w:sz="4" w:space="0"/>
              <w:left w:val="nil"/>
              <w:bottom w:val="single" w:color="000000" w:sz="4" w:space="0"/>
              <w:right w:val="single" w:color="000000" w:sz="4" w:space="0"/>
            </w:tcBorders>
            <w:vAlign w:val="center"/>
          </w:tcPr>
          <w:p>
            <w:pPr>
              <w:widowControl/>
              <w:spacing w:line="350" w:lineRule="exact"/>
              <w:rPr>
                <w:rFonts w:ascii="仿宋_GB2312" w:hAnsi="仿宋_GB2312" w:cs="仿宋_GB2312"/>
                <w:kern w:val="0"/>
                <w:sz w:val="24"/>
                <w:szCs w:val="24"/>
              </w:rPr>
            </w:pPr>
            <w:r>
              <w:rPr>
                <w:rFonts w:hint="eastAsia" w:ascii="仿宋_GB2312" w:hAnsi="仿宋_GB2312" w:cs="仿宋_GB2312"/>
                <w:kern w:val="0"/>
                <w:sz w:val="24"/>
                <w:szCs w:val="24"/>
              </w:rPr>
              <w:t>全市</w:t>
            </w:r>
          </w:p>
        </w:tc>
      </w:tr>
      <w:tr>
        <w:tblPrEx>
          <w:tblCellMar>
            <w:top w:w="0" w:type="dxa"/>
            <w:left w:w="108" w:type="dxa"/>
            <w:bottom w:w="0" w:type="dxa"/>
            <w:right w:w="108" w:type="dxa"/>
          </w:tblCellMar>
        </w:tblPrEx>
        <w:trPr>
          <w:trHeight w:val="397" w:hRule="atLeast"/>
          <w:jc w:val="center"/>
        </w:trPr>
        <w:tc>
          <w:tcPr>
            <w:tcW w:w="456" w:type="dxa"/>
            <w:tcBorders>
              <w:top w:val="nil"/>
              <w:left w:val="single" w:color="000000" w:sz="4" w:space="0"/>
              <w:bottom w:val="single" w:color="000000" w:sz="4" w:space="0"/>
              <w:right w:val="single" w:color="000000" w:sz="4" w:space="0"/>
            </w:tcBorders>
            <w:noWrap/>
            <w:vAlign w:val="center"/>
          </w:tcPr>
          <w:p>
            <w:pPr>
              <w:widowControl/>
              <w:spacing w:line="350" w:lineRule="exact"/>
              <w:rPr>
                <w:rFonts w:ascii="仿宋_GB2312" w:hAnsi="仿宋_GB2312" w:cs="仿宋_GB2312"/>
                <w:kern w:val="0"/>
                <w:sz w:val="24"/>
                <w:szCs w:val="24"/>
              </w:rPr>
            </w:pPr>
            <w:r>
              <w:rPr>
                <w:rFonts w:hint="eastAsia" w:ascii="仿宋_GB2312" w:hAnsi="仿宋_GB2312" w:cs="仿宋_GB2312"/>
                <w:kern w:val="0"/>
                <w:sz w:val="24"/>
                <w:szCs w:val="24"/>
              </w:rPr>
              <w:t>30</w:t>
            </w:r>
          </w:p>
        </w:tc>
        <w:tc>
          <w:tcPr>
            <w:tcW w:w="1240" w:type="dxa"/>
            <w:tcBorders>
              <w:top w:val="nil"/>
              <w:left w:val="nil"/>
              <w:bottom w:val="single" w:color="000000" w:sz="4" w:space="0"/>
              <w:right w:val="single" w:color="000000" w:sz="4" w:space="0"/>
            </w:tcBorders>
            <w:vAlign w:val="center"/>
          </w:tcPr>
          <w:p>
            <w:pPr>
              <w:widowControl/>
              <w:spacing w:line="350" w:lineRule="exact"/>
              <w:rPr>
                <w:rFonts w:ascii="仿宋_GB2312" w:hAnsi="仿宋_GB2312" w:cs="仿宋_GB2312"/>
                <w:kern w:val="0"/>
                <w:sz w:val="24"/>
                <w:szCs w:val="24"/>
              </w:rPr>
            </w:pPr>
            <w:r>
              <w:rPr>
                <w:rFonts w:hint="eastAsia" w:ascii="仿宋_GB2312" w:hAnsi="仿宋_GB2312" w:cs="仿宋_GB2312"/>
                <w:kern w:val="0"/>
                <w:sz w:val="24"/>
                <w:szCs w:val="24"/>
              </w:rPr>
              <w:t>立法确认区域改革创新举措</w:t>
            </w:r>
          </w:p>
        </w:tc>
        <w:tc>
          <w:tcPr>
            <w:tcW w:w="5954" w:type="dxa"/>
            <w:tcBorders>
              <w:top w:val="nil"/>
              <w:left w:val="nil"/>
              <w:bottom w:val="single" w:color="000000" w:sz="4" w:space="0"/>
              <w:right w:val="single" w:color="000000" w:sz="4" w:space="0"/>
            </w:tcBorders>
            <w:vAlign w:val="center"/>
          </w:tcPr>
          <w:p>
            <w:pPr>
              <w:widowControl/>
              <w:spacing w:line="350" w:lineRule="exact"/>
              <w:rPr>
                <w:rFonts w:ascii="仿宋_GB2312" w:hAnsi="仿宋_GB2312" w:cs="仿宋_GB2312"/>
                <w:kern w:val="0"/>
                <w:sz w:val="24"/>
                <w:szCs w:val="24"/>
              </w:rPr>
            </w:pPr>
            <w:r>
              <w:rPr>
                <w:rFonts w:hint="eastAsia" w:ascii="仿宋_GB2312" w:hAnsi="仿宋_GB2312" w:cs="仿宋_GB2312"/>
                <w:kern w:val="0"/>
                <w:sz w:val="24"/>
                <w:szCs w:val="24"/>
              </w:rPr>
              <w:t>通过立法将自贸片区改革创新系列制度和举措予以确认、优化、完善，形成自贸试验片区条例。以制度集成创新为核心，从管理体制、投资开放、贸易自由化、金融开放与创新、监管与服务和法治环境等方面进行制度设计，构建与自贸片区发展相适应的管理体制架构，推动投资开放，促进贸易自由化，支持金融业对外开放试验，创新自贸片区监督与服务。</w:t>
            </w:r>
          </w:p>
        </w:tc>
        <w:tc>
          <w:tcPr>
            <w:tcW w:w="979" w:type="dxa"/>
            <w:tcBorders>
              <w:top w:val="nil"/>
              <w:left w:val="nil"/>
              <w:bottom w:val="single" w:color="000000" w:sz="4" w:space="0"/>
              <w:right w:val="single" w:color="000000" w:sz="4" w:space="0"/>
            </w:tcBorders>
            <w:vAlign w:val="center"/>
          </w:tcPr>
          <w:p>
            <w:pPr>
              <w:widowControl/>
              <w:spacing w:line="350" w:lineRule="exact"/>
              <w:rPr>
                <w:rFonts w:ascii="仿宋_GB2312" w:hAnsi="仿宋_GB2312" w:cs="仿宋_GB2312"/>
                <w:kern w:val="0"/>
                <w:sz w:val="24"/>
                <w:szCs w:val="24"/>
              </w:rPr>
            </w:pPr>
            <w:r>
              <w:rPr>
                <w:rFonts w:hint="eastAsia" w:ascii="仿宋_GB2312" w:hAnsi="仿宋_GB2312" w:cs="仿宋_GB2312"/>
                <w:kern w:val="0"/>
                <w:sz w:val="24"/>
                <w:szCs w:val="24"/>
              </w:rPr>
              <w:t>市司法局、市人大常委会法工委</w:t>
            </w:r>
          </w:p>
        </w:tc>
        <w:tc>
          <w:tcPr>
            <w:tcW w:w="849" w:type="dxa"/>
            <w:tcBorders>
              <w:top w:val="nil"/>
              <w:left w:val="nil"/>
              <w:bottom w:val="single" w:color="000000" w:sz="4" w:space="0"/>
              <w:right w:val="single" w:color="000000" w:sz="4" w:space="0"/>
            </w:tcBorders>
            <w:vAlign w:val="center"/>
          </w:tcPr>
          <w:p>
            <w:pPr>
              <w:widowControl/>
              <w:spacing w:line="350" w:lineRule="exact"/>
              <w:rPr>
                <w:rFonts w:ascii="仿宋_GB2312" w:hAnsi="仿宋_GB2312" w:cs="仿宋_GB2312"/>
                <w:kern w:val="0"/>
                <w:sz w:val="24"/>
                <w:szCs w:val="24"/>
              </w:rPr>
            </w:pPr>
            <w:r>
              <w:rPr>
                <w:rFonts w:hint="eastAsia" w:ascii="仿宋_GB2312" w:hAnsi="仿宋_GB2312" w:cs="仿宋_GB2312"/>
                <w:kern w:val="0"/>
                <w:sz w:val="24"/>
                <w:szCs w:val="24"/>
              </w:rPr>
              <w:t>全市</w:t>
            </w:r>
          </w:p>
        </w:tc>
      </w:tr>
      <w:tr>
        <w:tblPrEx>
          <w:tblCellMar>
            <w:top w:w="0" w:type="dxa"/>
            <w:left w:w="108" w:type="dxa"/>
            <w:bottom w:w="0" w:type="dxa"/>
            <w:right w:w="108" w:type="dxa"/>
          </w:tblCellMar>
        </w:tblPrEx>
        <w:trPr>
          <w:trHeight w:val="3662" w:hRule="atLeast"/>
          <w:jc w:val="center"/>
        </w:trPr>
        <w:tc>
          <w:tcPr>
            <w:tcW w:w="456" w:type="dxa"/>
            <w:tcBorders>
              <w:top w:val="nil"/>
              <w:left w:val="single" w:color="000000" w:sz="4" w:space="0"/>
              <w:bottom w:val="single" w:color="auto" w:sz="4" w:space="0"/>
              <w:right w:val="single" w:color="000000" w:sz="4" w:space="0"/>
            </w:tcBorders>
            <w:noWrap/>
            <w:vAlign w:val="center"/>
          </w:tcPr>
          <w:p>
            <w:pPr>
              <w:widowControl/>
              <w:spacing w:line="350" w:lineRule="exact"/>
              <w:rPr>
                <w:rFonts w:ascii="仿宋_GB2312" w:hAnsi="仿宋_GB2312" w:cs="仿宋_GB2312"/>
                <w:kern w:val="0"/>
                <w:sz w:val="24"/>
                <w:szCs w:val="24"/>
              </w:rPr>
            </w:pPr>
            <w:r>
              <w:rPr>
                <w:rFonts w:hint="eastAsia" w:ascii="仿宋_GB2312" w:hAnsi="仿宋_GB2312" w:cs="仿宋_GB2312"/>
                <w:kern w:val="0"/>
                <w:sz w:val="24"/>
                <w:szCs w:val="24"/>
              </w:rPr>
              <w:t>31</w:t>
            </w:r>
          </w:p>
        </w:tc>
        <w:tc>
          <w:tcPr>
            <w:tcW w:w="1240" w:type="dxa"/>
            <w:tcBorders>
              <w:top w:val="nil"/>
              <w:left w:val="nil"/>
              <w:bottom w:val="single" w:color="auto" w:sz="4" w:space="0"/>
              <w:right w:val="single" w:color="000000" w:sz="4" w:space="0"/>
            </w:tcBorders>
            <w:vAlign w:val="center"/>
          </w:tcPr>
          <w:p>
            <w:pPr>
              <w:widowControl/>
              <w:spacing w:line="350" w:lineRule="exact"/>
              <w:rPr>
                <w:rFonts w:ascii="仿宋_GB2312" w:hAnsi="仿宋_GB2312" w:cs="仿宋_GB2312"/>
                <w:kern w:val="0"/>
                <w:sz w:val="24"/>
                <w:szCs w:val="24"/>
              </w:rPr>
            </w:pPr>
            <w:r>
              <w:rPr>
                <w:rFonts w:hint="eastAsia" w:ascii="仿宋_GB2312" w:hAnsi="仿宋_GB2312" w:cs="仿宋_GB2312"/>
                <w:kern w:val="0"/>
                <w:sz w:val="24"/>
                <w:szCs w:val="24"/>
              </w:rPr>
              <w:t>知识产权海外维权援助机制</w:t>
            </w:r>
          </w:p>
        </w:tc>
        <w:tc>
          <w:tcPr>
            <w:tcW w:w="5954" w:type="dxa"/>
            <w:tcBorders>
              <w:top w:val="nil"/>
              <w:left w:val="nil"/>
              <w:bottom w:val="single" w:color="auto" w:sz="4" w:space="0"/>
              <w:right w:val="single" w:color="000000" w:sz="4" w:space="0"/>
            </w:tcBorders>
            <w:vAlign w:val="center"/>
          </w:tcPr>
          <w:p>
            <w:pPr>
              <w:widowControl/>
              <w:spacing w:line="350" w:lineRule="exact"/>
              <w:rPr>
                <w:rFonts w:ascii="仿宋_GB2312" w:hAnsi="仿宋_GB2312" w:cs="仿宋_GB2312"/>
                <w:kern w:val="0"/>
                <w:sz w:val="24"/>
                <w:szCs w:val="24"/>
              </w:rPr>
            </w:pPr>
            <w:r>
              <w:rPr>
                <w:rFonts w:hint="eastAsia" w:ascii="仿宋_GB2312" w:hAnsi="仿宋_GB2312" w:cs="仿宋_GB2312"/>
                <w:kern w:val="0"/>
                <w:sz w:val="24"/>
                <w:szCs w:val="24"/>
              </w:rPr>
              <w:t>推动海外知识产权布局，开展海外专利分析预警，为企业“出海”布局提供指引。以快速预审为依托，为企业海外专利布局“提速”，加快企业开拓国际市场步伐。多途径完善海外维权体系，监测“美国337调查”并快速响应。聚焦重点涉外案件和企业，协调资源支持。建设海外法律信息库、海外维权专家库、海外服务机构库。多渠道促进海外维权意识能力提升，打造海外维权沙龙品牌，建立常态化信息共享机制，为涉外企业提供海外维权经验分享和交流合作平台。依托微信公众号，通过新颖直观方式普及海外维权法律知识，加大海外维权宣传力度。</w:t>
            </w:r>
          </w:p>
        </w:tc>
        <w:tc>
          <w:tcPr>
            <w:tcW w:w="979" w:type="dxa"/>
            <w:tcBorders>
              <w:top w:val="nil"/>
              <w:left w:val="nil"/>
              <w:bottom w:val="single" w:color="auto" w:sz="4" w:space="0"/>
              <w:right w:val="single" w:color="000000" w:sz="4" w:space="0"/>
            </w:tcBorders>
            <w:vAlign w:val="center"/>
          </w:tcPr>
          <w:p>
            <w:pPr>
              <w:widowControl/>
              <w:spacing w:line="350" w:lineRule="exact"/>
              <w:rPr>
                <w:rFonts w:ascii="仿宋_GB2312" w:hAnsi="仿宋_GB2312" w:cs="仿宋_GB2312"/>
                <w:kern w:val="0"/>
                <w:sz w:val="24"/>
                <w:szCs w:val="24"/>
              </w:rPr>
            </w:pPr>
            <w:r>
              <w:rPr>
                <w:rFonts w:hint="eastAsia" w:ascii="仿宋_GB2312" w:hAnsi="仿宋_GB2312" w:cs="仿宋_GB2312"/>
                <w:kern w:val="0"/>
                <w:sz w:val="24"/>
                <w:szCs w:val="24"/>
              </w:rPr>
              <w:t>市市场监管局</w:t>
            </w:r>
          </w:p>
        </w:tc>
        <w:tc>
          <w:tcPr>
            <w:tcW w:w="849" w:type="dxa"/>
            <w:tcBorders>
              <w:top w:val="nil"/>
              <w:left w:val="nil"/>
              <w:bottom w:val="single" w:color="auto" w:sz="4" w:space="0"/>
              <w:right w:val="single" w:color="000000" w:sz="4" w:space="0"/>
            </w:tcBorders>
            <w:vAlign w:val="center"/>
          </w:tcPr>
          <w:p>
            <w:pPr>
              <w:widowControl/>
              <w:spacing w:line="350" w:lineRule="exact"/>
              <w:rPr>
                <w:rFonts w:ascii="仿宋_GB2312" w:hAnsi="仿宋_GB2312" w:cs="仿宋_GB2312"/>
                <w:kern w:val="0"/>
                <w:sz w:val="24"/>
                <w:szCs w:val="24"/>
              </w:rPr>
            </w:pPr>
            <w:r>
              <w:rPr>
                <w:rFonts w:hint="eastAsia" w:ascii="仿宋_GB2312" w:hAnsi="仿宋_GB2312" w:cs="仿宋_GB2312"/>
                <w:kern w:val="0"/>
                <w:sz w:val="24"/>
                <w:szCs w:val="24"/>
              </w:rPr>
              <w:t>全市</w:t>
            </w:r>
          </w:p>
        </w:tc>
      </w:tr>
      <w:tr>
        <w:tblPrEx>
          <w:tblCellMar>
            <w:top w:w="0" w:type="dxa"/>
            <w:left w:w="108" w:type="dxa"/>
            <w:bottom w:w="0" w:type="dxa"/>
            <w:right w:w="108" w:type="dxa"/>
          </w:tblCellMar>
        </w:tblPrEx>
        <w:trPr>
          <w:trHeight w:val="1639" w:hRule="atLeast"/>
          <w:jc w:val="center"/>
        </w:trPr>
        <w:tc>
          <w:tcPr>
            <w:tcW w:w="456" w:type="dxa"/>
            <w:tcBorders>
              <w:top w:val="single" w:color="auto" w:sz="4" w:space="0"/>
              <w:left w:val="single" w:color="auto" w:sz="4" w:space="0"/>
              <w:bottom w:val="single" w:color="000000" w:sz="4" w:space="0"/>
              <w:right w:val="single" w:color="000000" w:sz="4" w:space="0"/>
            </w:tcBorders>
            <w:noWrap/>
            <w:vAlign w:val="center"/>
          </w:tcPr>
          <w:p>
            <w:pPr>
              <w:widowControl/>
              <w:spacing w:line="330" w:lineRule="exact"/>
              <w:rPr>
                <w:rFonts w:ascii="仿宋_GB2312" w:hAnsi="仿宋_GB2312" w:cs="仿宋_GB2312"/>
                <w:kern w:val="0"/>
                <w:sz w:val="24"/>
                <w:szCs w:val="24"/>
              </w:rPr>
            </w:pPr>
            <w:r>
              <w:rPr>
                <w:rFonts w:hint="eastAsia" w:ascii="仿宋_GB2312" w:hAnsi="仿宋_GB2312" w:cs="仿宋_GB2312"/>
                <w:kern w:val="0"/>
                <w:sz w:val="24"/>
                <w:szCs w:val="24"/>
              </w:rPr>
              <w:t>32</w:t>
            </w:r>
          </w:p>
        </w:tc>
        <w:tc>
          <w:tcPr>
            <w:tcW w:w="1240" w:type="dxa"/>
            <w:tcBorders>
              <w:top w:val="single" w:color="auto" w:sz="4" w:space="0"/>
              <w:left w:val="nil"/>
              <w:bottom w:val="single" w:color="000000" w:sz="4" w:space="0"/>
              <w:right w:val="single" w:color="000000" w:sz="4" w:space="0"/>
            </w:tcBorders>
            <w:vAlign w:val="center"/>
          </w:tcPr>
          <w:p>
            <w:pPr>
              <w:widowControl/>
              <w:spacing w:line="330" w:lineRule="exact"/>
              <w:rPr>
                <w:rFonts w:ascii="仿宋_GB2312" w:hAnsi="仿宋_GB2312" w:cs="仿宋_GB2312"/>
                <w:kern w:val="0"/>
                <w:sz w:val="24"/>
                <w:szCs w:val="24"/>
              </w:rPr>
            </w:pPr>
            <w:r>
              <w:rPr>
                <w:rFonts w:hint="eastAsia" w:ascii="仿宋_GB2312" w:hAnsi="仿宋_GB2312" w:cs="仿宋_GB2312"/>
                <w:kern w:val="0"/>
                <w:sz w:val="24"/>
                <w:szCs w:val="24"/>
              </w:rPr>
              <w:t>区域性港澳法律研究平台</w:t>
            </w:r>
          </w:p>
        </w:tc>
        <w:tc>
          <w:tcPr>
            <w:tcW w:w="5954" w:type="dxa"/>
            <w:tcBorders>
              <w:top w:val="single" w:color="auto" w:sz="4" w:space="0"/>
              <w:left w:val="nil"/>
              <w:bottom w:val="single" w:color="000000" w:sz="4" w:space="0"/>
              <w:right w:val="single" w:color="000000" w:sz="4" w:space="0"/>
            </w:tcBorders>
            <w:vAlign w:val="center"/>
          </w:tcPr>
          <w:p>
            <w:pPr>
              <w:widowControl/>
              <w:spacing w:line="330" w:lineRule="exact"/>
              <w:rPr>
                <w:rFonts w:ascii="仿宋_GB2312" w:hAnsi="仿宋_GB2312" w:cs="仿宋_GB2312"/>
                <w:kern w:val="0"/>
                <w:sz w:val="24"/>
                <w:szCs w:val="24"/>
              </w:rPr>
            </w:pPr>
            <w:r>
              <w:rPr>
                <w:rFonts w:hint="eastAsia" w:ascii="仿宋_GB2312" w:hAnsi="仿宋_GB2312" w:cs="仿宋_GB2312"/>
                <w:kern w:val="0"/>
                <w:sz w:val="24"/>
                <w:szCs w:val="24"/>
              </w:rPr>
              <w:t>设立区域性港澳法律研究平台，聚焦适应于“一国两制”新实践的港澳法学研究的重大课题，集合全国性港澳法律资源，打造国际一流港澳法律研究平台，为“一国两制”实践在宪法和基本法规定的轨道上行稳致远提供理论支撑，提供港澳法研究方面的人才和智力支持，搭建港澳法律的研究平台和交流平台。</w:t>
            </w:r>
          </w:p>
        </w:tc>
        <w:tc>
          <w:tcPr>
            <w:tcW w:w="979" w:type="dxa"/>
            <w:tcBorders>
              <w:top w:val="single" w:color="auto" w:sz="4" w:space="0"/>
              <w:left w:val="nil"/>
              <w:bottom w:val="single" w:color="000000" w:sz="4" w:space="0"/>
              <w:right w:val="single" w:color="000000" w:sz="4" w:space="0"/>
            </w:tcBorders>
            <w:vAlign w:val="center"/>
          </w:tcPr>
          <w:p>
            <w:pPr>
              <w:widowControl/>
              <w:spacing w:line="330" w:lineRule="exact"/>
              <w:rPr>
                <w:rFonts w:ascii="仿宋_GB2312" w:hAnsi="仿宋_GB2312" w:cs="仿宋_GB2312"/>
                <w:kern w:val="0"/>
                <w:sz w:val="24"/>
                <w:szCs w:val="24"/>
              </w:rPr>
            </w:pPr>
            <w:r>
              <w:rPr>
                <w:rFonts w:hint="eastAsia" w:ascii="仿宋_GB2312" w:hAnsi="仿宋_GB2312" w:cs="仿宋_GB2312"/>
                <w:kern w:val="0"/>
                <w:sz w:val="24"/>
                <w:szCs w:val="24"/>
              </w:rPr>
              <w:t>市法学会</w:t>
            </w:r>
          </w:p>
        </w:tc>
        <w:tc>
          <w:tcPr>
            <w:tcW w:w="849" w:type="dxa"/>
            <w:tcBorders>
              <w:top w:val="single" w:color="auto" w:sz="4" w:space="0"/>
              <w:left w:val="nil"/>
              <w:bottom w:val="single" w:color="000000" w:sz="4" w:space="0"/>
              <w:right w:val="single" w:color="auto" w:sz="4" w:space="0"/>
            </w:tcBorders>
            <w:vAlign w:val="center"/>
          </w:tcPr>
          <w:p>
            <w:pPr>
              <w:widowControl/>
              <w:spacing w:line="330" w:lineRule="exact"/>
              <w:rPr>
                <w:rFonts w:ascii="仿宋_GB2312" w:hAnsi="仿宋_GB2312" w:cs="仿宋_GB2312"/>
                <w:kern w:val="0"/>
                <w:sz w:val="24"/>
                <w:szCs w:val="24"/>
              </w:rPr>
            </w:pPr>
            <w:r>
              <w:rPr>
                <w:rFonts w:hint="eastAsia" w:ascii="仿宋_GB2312" w:hAnsi="仿宋_GB2312" w:cs="仿宋_GB2312"/>
                <w:kern w:val="0"/>
                <w:sz w:val="24"/>
                <w:szCs w:val="24"/>
              </w:rPr>
              <w:t>全市</w:t>
            </w:r>
          </w:p>
        </w:tc>
      </w:tr>
      <w:tr>
        <w:tblPrEx>
          <w:tblCellMar>
            <w:top w:w="0" w:type="dxa"/>
            <w:left w:w="108" w:type="dxa"/>
            <w:bottom w:w="0" w:type="dxa"/>
            <w:right w:w="108" w:type="dxa"/>
          </w:tblCellMar>
        </w:tblPrEx>
        <w:trPr>
          <w:trHeight w:val="320" w:hRule="atLeast"/>
          <w:jc w:val="center"/>
        </w:trPr>
        <w:tc>
          <w:tcPr>
            <w:tcW w:w="9478" w:type="dxa"/>
            <w:gridSpan w:val="5"/>
            <w:tcBorders>
              <w:top w:val="single" w:color="000000" w:sz="4" w:space="0"/>
              <w:left w:val="single" w:color="auto" w:sz="4" w:space="0"/>
              <w:bottom w:val="single" w:color="auto" w:sz="4" w:space="0"/>
              <w:right w:val="single" w:color="auto" w:sz="4" w:space="0"/>
            </w:tcBorders>
            <w:noWrap/>
            <w:vAlign w:val="center"/>
          </w:tcPr>
          <w:p>
            <w:pPr>
              <w:widowControl/>
              <w:spacing w:line="330" w:lineRule="exact"/>
              <w:jc w:val="left"/>
              <w:rPr>
                <w:rFonts w:ascii="仿宋_GB2312" w:hAnsi="仿宋_GB2312" w:cs="仿宋_GB2312"/>
                <w:kern w:val="0"/>
                <w:sz w:val="24"/>
                <w:szCs w:val="24"/>
              </w:rPr>
            </w:pPr>
            <w:r>
              <w:rPr>
                <w:rFonts w:hint="eastAsia" w:ascii="仿宋_GB2312" w:hAnsi="仿宋_GB2312" w:cs="仿宋_GB2312"/>
                <w:kern w:val="0"/>
                <w:sz w:val="24"/>
                <w:szCs w:val="24"/>
              </w:rPr>
              <w:t>六、人才管理改革（2项）</w:t>
            </w:r>
          </w:p>
        </w:tc>
      </w:tr>
      <w:tr>
        <w:tblPrEx>
          <w:tblCellMar>
            <w:top w:w="0" w:type="dxa"/>
            <w:left w:w="108" w:type="dxa"/>
            <w:bottom w:w="0" w:type="dxa"/>
            <w:right w:w="108" w:type="dxa"/>
          </w:tblCellMar>
        </w:tblPrEx>
        <w:trPr>
          <w:trHeight w:val="3231" w:hRule="atLeast"/>
          <w:jc w:val="center"/>
        </w:trPr>
        <w:tc>
          <w:tcPr>
            <w:tcW w:w="456" w:type="dxa"/>
            <w:tcBorders>
              <w:top w:val="single" w:color="auto" w:sz="4" w:space="0"/>
              <w:left w:val="single" w:color="000000" w:sz="4" w:space="0"/>
              <w:bottom w:val="single" w:color="000000" w:sz="4" w:space="0"/>
              <w:right w:val="single" w:color="000000" w:sz="4" w:space="0"/>
            </w:tcBorders>
            <w:noWrap/>
            <w:vAlign w:val="center"/>
          </w:tcPr>
          <w:p>
            <w:pPr>
              <w:widowControl/>
              <w:spacing w:line="330" w:lineRule="exact"/>
              <w:rPr>
                <w:rFonts w:ascii="仿宋_GB2312" w:hAnsi="仿宋_GB2312" w:cs="仿宋_GB2312"/>
                <w:kern w:val="0"/>
                <w:sz w:val="24"/>
                <w:szCs w:val="24"/>
              </w:rPr>
            </w:pPr>
            <w:r>
              <w:rPr>
                <w:rFonts w:hint="eastAsia" w:ascii="仿宋_GB2312" w:hAnsi="仿宋_GB2312" w:cs="仿宋_GB2312"/>
                <w:kern w:val="0"/>
                <w:sz w:val="24"/>
                <w:szCs w:val="24"/>
              </w:rPr>
              <w:t>33</w:t>
            </w:r>
          </w:p>
        </w:tc>
        <w:tc>
          <w:tcPr>
            <w:tcW w:w="1240" w:type="dxa"/>
            <w:tcBorders>
              <w:top w:val="single" w:color="auto" w:sz="4" w:space="0"/>
              <w:left w:val="nil"/>
              <w:bottom w:val="single" w:color="000000" w:sz="4" w:space="0"/>
              <w:right w:val="single" w:color="000000" w:sz="4" w:space="0"/>
            </w:tcBorders>
            <w:vAlign w:val="center"/>
          </w:tcPr>
          <w:p>
            <w:pPr>
              <w:widowControl/>
              <w:spacing w:line="330" w:lineRule="exact"/>
              <w:rPr>
                <w:rFonts w:ascii="仿宋_GB2312" w:hAnsi="仿宋_GB2312" w:cs="仿宋_GB2312"/>
                <w:kern w:val="0"/>
                <w:sz w:val="24"/>
                <w:szCs w:val="24"/>
              </w:rPr>
            </w:pPr>
            <w:r>
              <w:rPr>
                <w:rFonts w:hint="eastAsia" w:ascii="仿宋_GB2312" w:hAnsi="仿宋_GB2312" w:cs="仿宋_GB2312"/>
                <w:kern w:val="0"/>
                <w:sz w:val="24"/>
                <w:szCs w:val="24"/>
              </w:rPr>
              <w:t>港澳台侨大学生实习实践平台</w:t>
            </w:r>
          </w:p>
        </w:tc>
        <w:tc>
          <w:tcPr>
            <w:tcW w:w="5954" w:type="dxa"/>
            <w:tcBorders>
              <w:top w:val="single" w:color="auto" w:sz="4" w:space="0"/>
              <w:left w:val="nil"/>
              <w:bottom w:val="single" w:color="000000" w:sz="4" w:space="0"/>
              <w:right w:val="single" w:color="000000" w:sz="4" w:space="0"/>
            </w:tcBorders>
            <w:vAlign w:val="center"/>
          </w:tcPr>
          <w:p>
            <w:pPr>
              <w:widowControl/>
              <w:spacing w:line="330" w:lineRule="exact"/>
              <w:rPr>
                <w:rFonts w:ascii="仿宋_GB2312" w:hAnsi="仿宋_GB2312" w:cs="仿宋_GB2312"/>
                <w:kern w:val="0"/>
                <w:sz w:val="24"/>
                <w:szCs w:val="24"/>
              </w:rPr>
            </w:pPr>
            <w:r>
              <w:rPr>
                <w:rFonts w:hint="eastAsia" w:ascii="仿宋_GB2312" w:hAnsi="仿宋_GB2312" w:cs="仿宋_GB2312"/>
                <w:kern w:val="0"/>
                <w:sz w:val="24"/>
                <w:szCs w:val="24"/>
              </w:rPr>
              <w:t>打造港澳台侨大学生实习实践平台，吸引更多内地及港澳台高校的港澳台侨大学生来实习实践。联合高校建设实践基地，常态化组织港澳台大学生到各类企业及机构开展实习实践。组织百企千人大学生实习计划，每年组织百家以上企业及机构，为港澳台侨大学生提供千个以上实习岗位。利用空间场所和各类便利条件，集聚优势资源打造港澳台青年培训交流基地。提供实习补贴，完善有关支持企业吸收港澳台侨大学生就业的政策措施，提升奖励、补贴、支持力度，每年组织企业面向合作共建大学港澳台侨大学生专场招聘会。</w:t>
            </w:r>
          </w:p>
        </w:tc>
        <w:tc>
          <w:tcPr>
            <w:tcW w:w="979" w:type="dxa"/>
            <w:tcBorders>
              <w:top w:val="single" w:color="auto" w:sz="4" w:space="0"/>
              <w:left w:val="nil"/>
              <w:bottom w:val="single" w:color="000000" w:sz="4" w:space="0"/>
              <w:right w:val="single" w:color="000000" w:sz="4" w:space="0"/>
            </w:tcBorders>
            <w:vAlign w:val="center"/>
          </w:tcPr>
          <w:p>
            <w:pPr>
              <w:widowControl/>
              <w:spacing w:line="330" w:lineRule="exact"/>
              <w:rPr>
                <w:rFonts w:ascii="仿宋_GB2312" w:hAnsi="仿宋_GB2312" w:cs="仿宋_GB2312"/>
                <w:kern w:val="0"/>
                <w:sz w:val="24"/>
                <w:szCs w:val="24"/>
              </w:rPr>
            </w:pPr>
            <w:r>
              <w:rPr>
                <w:rFonts w:hint="eastAsia" w:ascii="仿宋_GB2312" w:hAnsi="仿宋_GB2312" w:cs="仿宋_GB2312"/>
                <w:kern w:val="0"/>
                <w:sz w:val="24"/>
                <w:szCs w:val="24"/>
              </w:rPr>
              <w:t>市人力资源保障局、市委外办、市港澳办、市委台办</w:t>
            </w:r>
          </w:p>
        </w:tc>
        <w:tc>
          <w:tcPr>
            <w:tcW w:w="849" w:type="dxa"/>
            <w:tcBorders>
              <w:top w:val="single" w:color="auto" w:sz="4" w:space="0"/>
              <w:left w:val="nil"/>
              <w:bottom w:val="single" w:color="000000" w:sz="4" w:space="0"/>
              <w:right w:val="single" w:color="000000" w:sz="4" w:space="0"/>
            </w:tcBorders>
            <w:vAlign w:val="center"/>
          </w:tcPr>
          <w:p>
            <w:pPr>
              <w:widowControl/>
              <w:spacing w:line="330" w:lineRule="exact"/>
              <w:rPr>
                <w:rFonts w:ascii="仿宋_GB2312" w:hAnsi="仿宋_GB2312" w:cs="仿宋_GB2312"/>
                <w:kern w:val="0"/>
                <w:sz w:val="24"/>
                <w:szCs w:val="24"/>
              </w:rPr>
            </w:pPr>
            <w:r>
              <w:rPr>
                <w:rFonts w:hint="eastAsia" w:ascii="仿宋_GB2312" w:hAnsi="仿宋_GB2312" w:cs="仿宋_GB2312"/>
                <w:kern w:val="0"/>
                <w:sz w:val="24"/>
                <w:szCs w:val="24"/>
              </w:rPr>
              <w:t>全市</w:t>
            </w:r>
          </w:p>
        </w:tc>
      </w:tr>
      <w:tr>
        <w:tblPrEx>
          <w:tblCellMar>
            <w:top w:w="0" w:type="dxa"/>
            <w:left w:w="108" w:type="dxa"/>
            <w:bottom w:w="0" w:type="dxa"/>
            <w:right w:w="108" w:type="dxa"/>
          </w:tblCellMar>
        </w:tblPrEx>
        <w:trPr>
          <w:trHeight w:val="3231" w:hRule="atLeast"/>
          <w:jc w:val="center"/>
        </w:trPr>
        <w:tc>
          <w:tcPr>
            <w:tcW w:w="456" w:type="dxa"/>
            <w:tcBorders>
              <w:top w:val="nil"/>
              <w:left w:val="single" w:color="000000" w:sz="4" w:space="0"/>
              <w:bottom w:val="single" w:color="000000" w:sz="4" w:space="0"/>
              <w:right w:val="single" w:color="000000" w:sz="4" w:space="0"/>
            </w:tcBorders>
            <w:noWrap/>
            <w:vAlign w:val="center"/>
          </w:tcPr>
          <w:p>
            <w:pPr>
              <w:widowControl/>
              <w:spacing w:line="330" w:lineRule="exact"/>
              <w:rPr>
                <w:rFonts w:ascii="仿宋_GB2312" w:hAnsi="仿宋_GB2312" w:cs="仿宋_GB2312"/>
                <w:kern w:val="0"/>
                <w:sz w:val="24"/>
                <w:szCs w:val="24"/>
              </w:rPr>
            </w:pPr>
            <w:r>
              <w:rPr>
                <w:rFonts w:hint="eastAsia" w:ascii="仿宋_GB2312" w:hAnsi="仿宋_GB2312" w:cs="仿宋_GB2312"/>
                <w:kern w:val="0"/>
                <w:sz w:val="24"/>
                <w:szCs w:val="24"/>
              </w:rPr>
              <w:t>34</w:t>
            </w:r>
          </w:p>
        </w:tc>
        <w:tc>
          <w:tcPr>
            <w:tcW w:w="1240" w:type="dxa"/>
            <w:tcBorders>
              <w:top w:val="nil"/>
              <w:left w:val="nil"/>
              <w:bottom w:val="single" w:color="000000" w:sz="4" w:space="0"/>
              <w:right w:val="single" w:color="000000" w:sz="4" w:space="0"/>
            </w:tcBorders>
            <w:vAlign w:val="center"/>
          </w:tcPr>
          <w:p>
            <w:pPr>
              <w:widowControl/>
              <w:spacing w:line="330" w:lineRule="exact"/>
              <w:rPr>
                <w:rFonts w:ascii="仿宋_GB2312" w:hAnsi="仿宋_GB2312" w:cs="仿宋_GB2312"/>
                <w:kern w:val="0"/>
                <w:sz w:val="24"/>
                <w:szCs w:val="24"/>
              </w:rPr>
            </w:pPr>
            <w:r>
              <w:rPr>
                <w:rFonts w:hint="eastAsia" w:ascii="仿宋_GB2312" w:hAnsi="仿宋_GB2312" w:cs="仿宋_GB2312"/>
                <w:kern w:val="0"/>
                <w:sz w:val="24"/>
                <w:szCs w:val="24"/>
              </w:rPr>
              <w:t>港澳台侨青年教育研究平台</w:t>
            </w:r>
          </w:p>
        </w:tc>
        <w:tc>
          <w:tcPr>
            <w:tcW w:w="5954" w:type="dxa"/>
            <w:tcBorders>
              <w:top w:val="nil"/>
              <w:left w:val="nil"/>
              <w:bottom w:val="single" w:color="000000" w:sz="4" w:space="0"/>
              <w:right w:val="single" w:color="000000" w:sz="4" w:space="0"/>
            </w:tcBorders>
            <w:vAlign w:val="center"/>
          </w:tcPr>
          <w:p>
            <w:pPr>
              <w:widowControl/>
              <w:spacing w:line="330" w:lineRule="exact"/>
              <w:rPr>
                <w:rFonts w:ascii="仿宋_GB2312" w:hAnsi="仿宋_GB2312" w:cs="仿宋_GB2312"/>
                <w:kern w:val="0"/>
                <w:sz w:val="24"/>
                <w:szCs w:val="24"/>
              </w:rPr>
            </w:pPr>
            <w:r>
              <w:rPr>
                <w:rFonts w:hint="eastAsia" w:ascii="仿宋_GB2312" w:hAnsi="仿宋_GB2312" w:cs="仿宋_GB2312"/>
                <w:kern w:val="0"/>
                <w:sz w:val="24"/>
                <w:szCs w:val="24"/>
              </w:rPr>
              <w:t>支持合作共建大学高等产业创新教研机构落户，为港澳青年“学习、实习、就业”一体化成长提供新的路径。依托粤港澳大湾区研究机构，共同推动建设高水平港澳研究基地。支持合作共建大学设立博士后创新实践基地和博士后工作站，引进一批港澳博士和博士后人才参与粤港澳大湾区和先行示范区建设。加强面向港澳的研究合作，合作推动一批高质量研究项目，为政府更好地制定面向港澳台侨青年的各类政策提供支撑。发起设立或推动一批粤港澳合作的高水平新型研发机构落户，打造国际科技创新重要基地。</w:t>
            </w:r>
          </w:p>
        </w:tc>
        <w:tc>
          <w:tcPr>
            <w:tcW w:w="979" w:type="dxa"/>
            <w:tcBorders>
              <w:top w:val="nil"/>
              <w:left w:val="nil"/>
              <w:bottom w:val="single" w:color="000000" w:sz="4" w:space="0"/>
              <w:right w:val="single" w:color="000000" w:sz="4" w:space="0"/>
            </w:tcBorders>
            <w:vAlign w:val="center"/>
          </w:tcPr>
          <w:p>
            <w:pPr>
              <w:widowControl/>
              <w:spacing w:line="330" w:lineRule="exact"/>
              <w:rPr>
                <w:rFonts w:ascii="仿宋_GB2312" w:hAnsi="仿宋_GB2312" w:cs="仿宋_GB2312"/>
                <w:kern w:val="0"/>
                <w:sz w:val="24"/>
                <w:szCs w:val="24"/>
              </w:rPr>
            </w:pPr>
            <w:r>
              <w:rPr>
                <w:rFonts w:hint="eastAsia" w:ascii="仿宋_GB2312" w:hAnsi="仿宋_GB2312" w:cs="仿宋_GB2312"/>
                <w:kern w:val="0"/>
                <w:sz w:val="24"/>
                <w:szCs w:val="24"/>
              </w:rPr>
              <w:t>市人力资源保障局、市委外办、市港澳办、市委台办</w:t>
            </w:r>
          </w:p>
        </w:tc>
        <w:tc>
          <w:tcPr>
            <w:tcW w:w="849" w:type="dxa"/>
            <w:tcBorders>
              <w:top w:val="nil"/>
              <w:left w:val="nil"/>
              <w:bottom w:val="single" w:color="000000" w:sz="4" w:space="0"/>
              <w:right w:val="single" w:color="000000" w:sz="4" w:space="0"/>
            </w:tcBorders>
            <w:vAlign w:val="center"/>
          </w:tcPr>
          <w:p>
            <w:pPr>
              <w:widowControl/>
              <w:spacing w:line="330" w:lineRule="exact"/>
              <w:rPr>
                <w:rFonts w:ascii="仿宋_GB2312" w:hAnsi="仿宋_GB2312" w:cs="仿宋_GB2312"/>
                <w:kern w:val="0"/>
                <w:sz w:val="24"/>
                <w:szCs w:val="24"/>
              </w:rPr>
            </w:pPr>
            <w:r>
              <w:rPr>
                <w:rFonts w:hint="eastAsia" w:ascii="仿宋_GB2312" w:hAnsi="仿宋_GB2312" w:cs="仿宋_GB2312"/>
                <w:kern w:val="0"/>
                <w:sz w:val="24"/>
                <w:szCs w:val="24"/>
              </w:rPr>
              <w:t>全市</w:t>
            </w:r>
          </w:p>
        </w:tc>
      </w:tr>
      <w:tr>
        <w:tblPrEx>
          <w:tblCellMar>
            <w:top w:w="0" w:type="dxa"/>
            <w:left w:w="108" w:type="dxa"/>
            <w:bottom w:w="0" w:type="dxa"/>
            <w:right w:w="108" w:type="dxa"/>
          </w:tblCellMar>
        </w:tblPrEx>
        <w:trPr>
          <w:trHeight w:val="320" w:hRule="atLeast"/>
          <w:jc w:val="center"/>
        </w:trPr>
        <w:tc>
          <w:tcPr>
            <w:tcW w:w="9478" w:type="dxa"/>
            <w:gridSpan w:val="5"/>
            <w:tcBorders>
              <w:top w:val="single" w:color="000000" w:sz="4" w:space="0"/>
              <w:left w:val="single" w:color="000000" w:sz="4" w:space="0"/>
              <w:bottom w:val="single" w:color="auto" w:sz="4" w:space="0"/>
              <w:right w:val="single" w:color="000000" w:sz="4" w:space="0"/>
            </w:tcBorders>
            <w:noWrap/>
            <w:vAlign w:val="center"/>
          </w:tcPr>
          <w:p>
            <w:pPr>
              <w:widowControl/>
              <w:spacing w:line="330" w:lineRule="exact"/>
              <w:jc w:val="left"/>
              <w:rPr>
                <w:rFonts w:ascii="仿宋_GB2312" w:hAnsi="仿宋_GB2312" w:cs="仿宋_GB2312"/>
                <w:kern w:val="0"/>
                <w:sz w:val="24"/>
                <w:szCs w:val="24"/>
              </w:rPr>
            </w:pPr>
            <w:r>
              <w:rPr>
                <w:rFonts w:hint="eastAsia" w:ascii="仿宋_GB2312" w:hAnsi="仿宋_GB2312" w:cs="仿宋_GB2312"/>
                <w:kern w:val="0"/>
                <w:sz w:val="24"/>
                <w:szCs w:val="24"/>
              </w:rPr>
              <w:t>七、体制机制创新（4项）</w:t>
            </w:r>
          </w:p>
        </w:tc>
      </w:tr>
      <w:tr>
        <w:tblPrEx>
          <w:tblCellMar>
            <w:top w:w="0" w:type="dxa"/>
            <w:left w:w="108" w:type="dxa"/>
            <w:bottom w:w="0" w:type="dxa"/>
            <w:right w:w="108" w:type="dxa"/>
          </w:tblCellMar>
        </w:tblPrEx>
        <w:trPr>
          <w:trHeight w:val="2551" w:hRule="atLeast"/>
          <w:jc w:val="center"/>
        </w:trPr>
        <w:tc>
          <w:tcPr>
            <w:tcW w:w="456" w:type="dxa"/>
            <w:tcBorders>
              <w:top w:val="single" w:color="auto" w:sz="4" w:space="0"/>
              <w:left w:val="single" w:color="000000" w:sz="4" w:space="0"/>
              <w:bottom w:val="single" w:color="auto" w:sz="4" w:space="0"/>
              <w:right w:val="single" w:color="000000" w:sz="4" w:space="0"/>
            </w:tcBorders>
            <w:noWrap/>
            <w:vAlign w:val="center"/>
          </w:tcPr>
          <w:p>
            <w:pPr>
              <w:widowControl/>
              <w:spacing w:line="330" w:lineRule="exact"/>
              <w:rPr>
                <w:rFonts w:ascii="仿宋_GB2312" w:hAnsi="仿宋_GB2312" w:cs="仿宋_GB2312"/>
                <w:kern w:val="0"/>
                <w:sz w:val="24"/>
                <w:szCs w:val="24"/>
              </w:rPr>
            </w:pPr>
            <w:r>
              <w:rPr>
                <w:rFonts w:hint="eastAsia" w:ascii="仿宋_GB2312" w:hAnsi="仿宋_GB2312" w:cs="仿宋_GB2312"/>
                <w:kern w:val="0"/>
                <w:sz w:val="24"/>
                <w:szCs w:val="24"/>
              </w:rPr>
              <w:t>35</w:t>
            </w:r>
          </w:p>
        </w:tc>
        <w:tc>
          <w:tcPr>
            <w:tcW w:w="1240" w:type="dxa"/>
            <w:tcBorders>
              <w:top w:val="single" w:color="auto" w:sz="4" w:space="0"/>
              <w:left w:val="nil"/>
              <w:bottom w:val="single" w:color="auto" w:sz="4" w:space="0"/>
              <w:right w:val="single" w:color="000000" w:sz="4" w:space="0"/>
            </w:tcBorders>
            <w:vAlign w:val="center"/>
          </w:tcPr>
          <w:p>
            <w:pPr>
              <w:widowControl/>
              <w:spacing w:line="330" w:lineRule="exact"/>
              <w:rPr>
                <w:rFonts w:ascii="仿宋_GB2312" w:hAnsi="仿宋_GB2312" w:cs="仿宋_GB2312"/>
                <w:kern w:val="0"/>
                <w:sz w:val="24"/>
                <w:szCs w:val="24"/>
              </w:rPr>
            </w:pPr>
            <w:r>
              <w:rPr>
                <w:rFonts w:hint="eastAsia" w:ascii="仿宋_GB2312" w:hAnsi="仿宋_GB2312" w:cs="仿宋_GB2312"/>
                <w:kern w:val="0"/>
                <w:sz w:val="24"/>
                <w:szCs w:val="24"/>
              </w:rPr>
              <w:t>创新水上交通安全多元治理机制</w:t>
            </w:r>
          </w:p>
        </w:tc>
        <w:tc>
          <w:tcPr>
            <w:tcW w:w="5954" w:type="dxa"/>
            <w:tcBorders>
              <w:top w:val="single" w:color="auto" w:sz="4" w:space="0"/>
              <w:left w:val="nil"/>
              <w:bottom w:val="single" w:color="auto" w:sz="4" w:space="0"/>
              <w:right w:val="single" w:color="000000" w:sz="4" w:space="0"/>
            </w:tcBorders>
            <w:vAlign w:val="center"/>
          </w:tcPr>
          <w:p>
            <w:pPr>
              <w:widowControl/>
              <w:spacing w:line="330" w:lineRule="exact"/>
              <w:rPr>
                <w:rFonts w:ascii="仿宋_GB2312" w:hAnsi="仿宋_GB2312" w:cs="仿宋_GB2312"/>
                <w:kern w:val="0"/>
                <w:sz w:val="24"/>
                <w:szCs w:val="24"/>
              </w:rPr>
            </w:pPr>
            <w:r>
              <w:rPr>
                <w:rFonts w:hint="eastAsia" w:ascii="仿宋_GB2312" w:hAnsi="仿宋_GB2312" w:cs="仿宋_GB2312"/>
                <w:kern w:val="0"/>
                <w:sz w:val="24"/>
                <w:szCs w:val="24"/>
              </w:rPr>
              <w:t>水上交通安全委员会是由直属海事机关牵头成立、地方政府统一协调的水上交通安全领域常设议事协调机构，执行关于水上交通安全、海域环境保护及水路危险货物运输工作的决策部署，组织协调和指导全市水上交通安全工作。构建涉水交通安全陆海统筹协调机制，增强陆海统筹发展的平衡性和协调性。构建“政府主导、属地负责、海陆联动、齐抓共管、综合治理”的水上交通安全多元治理机制。</w:t>
            </w:r>
          </w:p>
        </w:tc>
        <w:tc>
          <w:tcPr>
            <w:tcW w:w="979" w:type="dxa"/>
            <w:tcBorders>
              <w:top w:val="single" w:color="auto" w:sz="4" w:space="0"/>
              <w:left w:val="nil"/>
              <w:bottom w:val="single" w:color="auto" w:sz="4" w:space="0"/>
              <w:right w:val="single" w:color="000000" w:sz="4" w:space="0"/>
            </w:tcBorders>
            <w:vAlign w:val="center"/>
          </w:tcPr>
          <w:p>
            <w:pPr>
              <w:widowControl/>
              <w:spacing w:line="330" w:lineRule="exact"/>
              <w:rPr>
                <w:rFonts w:ascii="仿宋_GB2312" w:hAnsi="仿宋_GB2312" w:cs="仿宋_GB2312"/>
                <w:kern w:val="0"/>
                <w:sz w:val="24"/>
                <w:szCs w:val="24"/>
              </w:rPr>
            </w:pPr>
            <w:r>
              <w:rPr>
                <w:rFonts w:hint="eastAsia" w:ascii="仿宋_GB2312" w:hAnsi="仿宋_GB2312" w:cs="仿宋_GB2312"/>
                <w:kern w:val="0"/>
                <w:sz w:val="24"/>
                <w:szCs w:val="24"/>
              </w:rPr>
              <w:t>深圳海事局</w:t>
            </w:r>
          </w:p>
        </w:tc>
        <w:tc>
          <w:tcPr>
            <w:tcW w:w="849" w:type="dxa"/>
            <w:tcBorders>
              <w:top w:val="single" w:color="auto" w:sz="4" w:space="0"/>
              <w:left w:val="nil"/>
              <w:bottom w:val="single" w:color="auto" w:sz="4" w:space="0"/>
              <w:right w:val="single" w:color="000000" w:sz="4" w:space="0"/>
            </w:tcBorders>
            <w:vAlign w:val="center"/>
          </w:tcPr>
          <w:p>
            <w:pPr>
              <w:widowControl/>
              <w:spacing w:line="330" w:lineRule="exact"/>
              <w:rPr>
                <w:rFonts w:ascii="仿宋_GB2312" w:hAnsi="仿宋_GB2312" w:cs="仿宋_GB2312"/>
                <w:kern w:val="0"/>
                <w:sz w:val="24"/>
                <w:szCs w:val="24"/>
              </w:rPr>
            </w:pPr>
            <w:r>
              <w:rPr>
                <w:rFonts w:hint="eastAsia" w:ascii="仿宋_GB2312" w:hAnsi="仿宋_GB2312" w:cs="仿宋_GB2312"/>
                <w:kern w:val="0"/>
                <w:sz w:val="24"/>
                <w:szCs w:val="24"/>
              </w:rPr>
              <w:t>全市</w:t>
            </w:r>
          </w:p>
        </w:tc>
      </w:tr>
      <w:tr>
        <w:tblPrEx>
          <w:tblCellMar>
            <w:top w:w="0" w:type="dxa"/>
            <w:left w:w="108" w:type="dxa"/>
            <w:bottom w:w="0" w:type="dxa"/>
            <w:right w:w="108" w:type="dxa"/>
          </w:tblCellMar>
        </w:tblPrEx>
        <w:trPr>
          <w:trHeight w:val="2838" w:hRule="atLeast"/>
          <w:jc w:val="center"/>
        </w:trPr>
        <w:tc>
          <w:tcPr>
            <w:tcW w:w="456" w:type="dxa"/>
            <w:tcBorders>
              <w:top w:val="single" w:color="auto" w:sz="4" w:space="0"/>
              <w:left w:val="single" w:color="000000" w:sz="4" w:space="0"/>
              <w:bottom w:val="single" w:color="auto" w:sz="4" w:space="0"/>
              <w:right w:val="single" w:color="000000" w:sz="4" w:space="0"/>
            </w:tcBorders>
            <w:noWrap/>
            <w:vAlign w:val="center"/>
          </w:tcPr>
          <w:p>
            <w:pPr>
              <w:widowControl/>
              <w:spacing w:line="360" w:lineRule="exact"/>
              <w:rPr>
                <w:rFonts w:ascii="仿宋_GB2312" w:hAnsi="仿宋_GB2312" w:cs="仿宋_GB2312"/>
                <w:kern w:val="0"/>
                <w:sz w:val="24"/>
                <w:szCs w:val="24"/>
              </w:rPr>
            </w:pPr>
            <w:r>
              <w:rPr>
                <w:rFonts w:hint="eastAsia" w:ascii="仿宋_GB2312" w:hAnsi="仿宋_GB2312" w:cs="仿宋_GB2312"/>
                <w:kern w:val="0"/>
                <w:sz w:val="24"/>
                <w:szCs w:val="24"/>
              </w:rPr>
              <w:t>36</w:t>
            </w:r>
          </w:p>
        </w:tc>
        <w:tc>
          <w:tcPr>
            <w:tcW w:w="1240" w:type="dxa"/>
            <w:tcBorders>
              <w:top w:val="single" w:color="auto" w:sz="4" w:space="0"/>
              <w:left w:val="nil"/>
              <w:bottom w:val="single" w:color="auto" w:sz="4" w:space="0"/>
              <w:right w:val="single" w:color="000000" w:sz="4" w:space="0"/>
            </w:tcBorders>
            <w:vAlign w:val="center"/>
          </w:tcPr>
          <w:p>
            <w:pPr>
              <w:widowControl/>
              <w:spacing w:line="360" w:lineRule="exact"/>
              <w:rPr>
                <w:rFonts w:ascii="仿宋_GB2312" w:hAnsi="仿宋_GB2312" w:cs="仿宋_GB2312"/>
                <w:kern w:val="0"/>
                <w:sz w:val="24"/>
                <w:szCs w:val="24"/>
              </w:rPr>
            </w:pPr>
            <w:r>
              <w:rPr>
                <w:rFonts w:hint="eastAsia" w:ascii="仿宋_GB2312" w:hAnsi="仿宋_GB2312" w:cs="仿宋_GB2312"/>
                <w:kern w:val="0"/>
                <w:sz w:val="24"/>
                <w:szCs w:val="24"/>
              </w:rPr>
              <w:t>“指挥部+两平台”建设管理模式</w:t>
            </w:r>
          </w:p>
        </w:tc>
        <w:tc>
          <w:tcPr>
            <w:tcW w:w="5954" w:type="dxa"/>
            <w:tcBorders>
              <w:top w:val="single" w:color="auto" w:sz="4" w:space="0"/>
              <w:left w:val="nil"/>
              <w:bottom w:val="single" w:color="auto" w:sz="4" w:space="0"/>
              <w:right w:val="single" w:color="000000" w:sz="4" w:space="0"/>
            </w:tcBorders>
            <w:vAlign w:val="center"/>
          </w:tcPr>
          <w:p>
            <w:pPr>
              <w:widowControl/>
              <w:spacing w:line="360" w:lineRule="exact"/>
              <w:rPr>
                <w:rFonts w:ascii="仿宋_GB2312" w:hAnsi="仿宋_GB2312" w:cs="仿宋_GB2312"/>
                <w:kern w:val="0"/>
                <w:sz w:val="24"/>
                <w:szCs w:val="24"/>
              </w:rPr>
            </w:pPr>
            <w:r>
              <w:rPr>
                <w:rFonts w:hint="eastAsia" w:ascii="仿宋_GB2312" w:hAnsi="仿宋_GB2312" w:cs="仿宋_GB2312"/>
                <w:kern w:val="0"/>
                <w:sz w:val="24"/>
                <w:szCs w:val="24"/>
              </w:rPr>
              <w:t>引入第三方安全巡查平台和统筹协调平台，推出“指挥部+两平台”建设管理模式。指挥部作为决策主体，统筹各方利益，系统推进区域开发建设，统筹推进区域整体建设，包括固定资产投资与重大项目进度统筹督办、片区（重点单元）房建与配套设施协同建设前期研究与过程协调、工程项目群集中交付统筹协调等。开展第三方安全质量巡查，协调督办建设项目文明施工、扬尘治理、排水管理、噪音扰民、劳资纠纷等。该模式先行适用于政府主导的区域开发建设，取得示范经验后推广。</w:t>
            </w:r>
          </w:p>
        </w:tc>
        <w:tc>
          <w:tcPr>
            <w:tcW w:w="979" w:type="dxa"/>
            <w:tcBorders>
              <w:top w:val="single" w:color="auto" w:sz="4" w:space="0"/>
              <w:left w:val="nil"/>
              <w:bottom w:val="single" w:color="auto" w:sz="4" w:space="0"/>
              <w:right w:val="single" w:color="000000" w:sz="4" w:space="0"/>
            </w:tcBorders>
            <w:vAlign w:val="center"/>
          </w:tcPr>
          <w:p>
            <w:pPr>
              <w:widowControl/>
              <w:spacing w:line="360" w:lineRule="exact"/>
              <w:rPr>
                <w:rFonts w:ascii="仿宋_GB2312" w:hAnsi="仿宋_GB2312" w:cs="仿宋_GB2312"/>
                <w:kern w:val="0"/>
                <w:sz w:val="24"/>
                <w:szCs w:val="24"/>
              </w:rPr>
            </w:pPr>
            <w:r>
              <w:rPr>
                <w:rFonts w:hint="eastAsia" w:ascii="仿宋_GB2312" w:hAnsi="仿宋_GB2312" w:cs="仿宋_GB2312"/>
                <w:kern w:val="0"/>
                <w:sz w:val="24"/>
                <w:szCs w:val="24"/>
              </w:rPr>
              <w:t>市住房建设局</w:t>
            </w:r>
          </w:p>
        </w:tc>
        <w:tc>
          <w:tcPr>
            <w:tcW w:w="849" w:type="dxa"/>
            <w:tcBorders>
              <w:top w:val="single" w:color="auto" w:sz="4" w:space="0"/>
              <w:left w:val="nil"/>
              <w:bottom w:val="single" w:color="auto" w:sz="4" w:space="0"/>
              <w:right w:val="single" w:color="000000" w:sz="4" w:space="0"/>
            </w:tcBorders>
            <w:vAlign w:val="center"/>
          </w:tcPr>
          <w:p>
            <w:pPr>
              <w:widowControl/>
              <w:spacing w:line="360" w:lineRule="exact"/>
              <w:rPr>
                <w:rFonts w:ascii="仿宋_GB2312" w:hAnsi="仿宋_GB2312" w:cs="仿宋_GB2312"/>
                <w:kern w:val="0"/>
                <w:sz w:val="24"/>
                <w:szCs w:val="24"/>
              </w:rPr>
            </w:pPr>
            <w:r>
              <w:rPr>
                <w:rFonts w:hint="eastAsia" w:ascii="仿宋_GB2312" w:hAnsi="仿宋_GB2312" w:cs="仿宋_GB2312"/>
                <w:kern w:val="0"/>
                <w:sz w:val="24"/>
                <w:szCs w:val="24"/>
              </w:rPr>
              <w:t>全市</w:t>
            </w:r>
          </w:p>
        </w:tc>
      </w:tr>
      <w:tr>
        <w:tblPrEx>
          <w:tblCellMar>
            <w:top w:w="0" w:type="dxa"/>
            <w:left w:w="108" w:type="dxa"/>
            <w:bottom w:w="0" w:type="dxa"/>
            <w:right w:w="108" w:type="dxa"/>
          </w:tblCellMar>
        </w:tblPrEx>
        <w:trPr>
          <w:trHeight w:val="2181" w:hRule="atLeast"/>
          <w:jc w:val="center"/>
        </w:trPr>
        <w:tc>
          <w:tcPr>
            <w:tcW w:w="456" w:type="dxa"/>
            <w:tcBorders>
              <w:top w:val="single" w:color="auto" w:sz="4" w:space="0"/>
              <w:left w:val="single" w:color="000000" w:sz="4" w:space="0"/>
              <w:bottom w:val="single" w:color="auto" w:sz="4" w:space="0"/>
              <w:right w:val="single" w:color="000000" w:sz="4" w:space="0"/>
            </w:tcBorders>
            <w:noWrap/>
            <w:vAlign w:val="center"/>
          </w:tcPr>
          <w:p>
            <w:pPr>
              <w:widowControl/>
              <w:spacing w:line="360" w:lineRule="exact"/>
              <w:rPr>
                <w:rFonts w:ascii="仿宋_GB2312" w:hAnsi="仿宋_GB2312" w:cs="仿宋_GB2312"/>
                <w:kern w:val="0"/>
                <w:sz w:val="24"/>
                <w:szCs w:val="24"/>
              </w:rPr>
            </w:pPr>
            <w:r>
              <w:rPr>
                <w:rFonts w:hint="eastAsia" w:ascii="仿宋_GB2312" w:hAnsi="仿宋_GB2312" w:cs="仿宋_GB2312"/>
                <w:kern w:val="0"/>
                <w:sz w:val="24"/>
                <w:szCs w:val="24"/>
              </w:rPr>
              <w:t>37</w:t>
            </w:r>
          </w:p>
        </w:tc>
        <w:tc>
          <w:tcPr>
            <w:tcW w:w="1240" w:type="dxa"/>
            <w:tcBorders>
              <w:top w:val="single" w:color="auto" w:sz="4" w:space="0"/>
              <w:left w:val="nil"/>
              <w:bottom w:val="single" w:color="auto" w:sz="4" w:space="0"/>
              <w:right w:val="single" w:color="000000" w:sz="4" w:space="0"/>
            </w:tcBorders>
            <w:vAlign w:val="center"/>
          </w:tcPr>
          <w:p>
            <w:pPr>
              <w:widowControl/>
              <w:spacing w:line="360" w:lineRule="exact"/>
              <w:rPr>
                <w:rFonts w:ascii="仿宋_GB2312" w:hAnsi="仿宋_GB2312" w:cs="仿宋_GB2312"/>
                <w:kern w:val="0"/>
                <w:sz w:val="24"/>
                <w:szCs w:val="24"/>
              </w:rPr>
            </w:pPr>
            <w:r>
              <w:rPr>
                <w:rFonts w:hint="eastAsia" w:ascii="仿宋_GB2312" w:hAnsi="仿宋_GB2312" w:cs="仿宋_GB2312"/>
                <w:kern w:val="0"/>
                <w:sz w:val="24"/>
                <w:szCs w:val="24"/>
              </w:rPr>
              <w:t>特殊经济区自由贸易创新联盟</w:t>
            </w:r>
          </w:p>
        </w:tc>
        <w:tc>
          <w:tcPr>
            <w:tcW w:w="5954" w:type="dxa"/>
            <w:tcBorders>
              <w:top w:val="single" w:color="auto" w:sz="4" w:space="0"/>
              <w:left w:val="nil"/>
              <w:bottom w:val="single" w:color="auto" w:sz="4" w:space="0"/>
              <w:right w:val="single" w:color="000000" w:sz="4" w:space="0"/>
            </w:tcBorders>
            <w:vAlign w:val="center"/>
          </w:tcPr>
          <w:p>
            <w:pPr>
              <w:widowControl/>
              <w:spacing w:line="360" w:lineRule="exact"/>
              <w:rPr>
                <w:rFonts w:ascii="仿宋_GB2312" w:hAnsi="仿宋_GB2312" w:cs="仿宋_GB2312"/>
                <w:kern w:val="0"/>
                <w:sz w:val="24"/>
                <w:szCs w:val="24"/>
              </w:rPr>
            </w:pPr>
            <w:r>
              <w:rPr>
                <w:rFonts w:hint="eastAsia" w:ascii="仿宋_GB2312" w:hAnsi="仿宋_GB2312" w:cs="仿宋_GB2312"/>
                <w:kern w:val="0"/>
                <w:sz w:val="24"/>
                <w:szCs w:val="24"/>
              </w:rPr>
              <w:t>特殊经济区联盟的境外成员单位包括白俄罗斯、尼日利亚、柬埔寨等，境内单位包括自贸片区创新联盟的47个片区或区域。特殊经济区联盟在经贸合作、基础设施建设、金融服务、科技赋能、产业合作、协同创新及政策沟通、建立专业平台、建立对话及争议解决机制等方面加强合作。</w:t>
            </w:r>
          </w:p>
        </w:tc>
        <w:tc>
          <w:tcPr>
            <w:tcW w:w="979" w:type="dxa"/>
            <w:tcBorders>
              <w:top w:val="single" w:color="auto" w:sz="4" w:space="0"/>
              <w:left w:val="nil"/>
              <w:bottom w:val="single" w:color="auto" w:sz="4" w:space="0"/>
              <w:right w:val="single" w:color="000000" w:sz="4" w:space="0"/>
            </w:tcBorders>
            <w:vAlign w:val="center"/>
          </w:tcPr>
          <w:p>
            <w:pPr>
              <w:widowControl/>
              <w:spacing w:line="360" w:lineRule="exact"/>
              <w:rPr>
                <w:rFonts w:ascii="仿宋_GB2312" w:hAnsi="仿宋_GB2312" w:cs="仿宋_GB2312"/>
                <w:kern w:val="0"/>
                <w:sz w:val="24"/>
                <w:szCs w:val="24"/>
              </w:rPr>
            </w:pPr>
            <w:r>
              <w:rPr>
                <w:rFonts w:hint="eastAsia" w:ascii="仿宋_GB2312" w:hAnsi="仿宋_GB2312" w:cs="仿宋_GB2312"/>
                <w:kern w:val="0"/>
                <w:sz w:val="24"/>
                <w:szCs w:val="24"/>
              </w:rPr>
              <w:t>市商务局</w:t>
            </w:r>
          </w:p>
        </w:tc>
        <w:tc>
          <w:tcPr>
            <w:tcW w:w="849" w:type="dxa"/>
            <w:tcBorders>
              <w:top w:val="single" w:color="auto" w:sz="4" w:space="0"/>
              <w:left w:val="nil"/>
              <w:bottom w:val="single" w:color="auto" w:sz="4" w:space="0"/>
              <w:right w:val="single" w:color="000000" w:sz="4" w:space="0"/>
            </w:tcBorders>
            <w:vAlign w:val="center"/>
          </w:tcPr>
          <w:p>
            <w:pPr>
              <w:widowControl/>
              <w:spacing w:line="360" w:lineRule="exact"/>
              <w:rPr>
                <w:rFonts w:ascii="仿宋_GB2312" w:hAnsi="仿宋_GB2312" w:cs="仿宋_GB2312"/>
                <w:kern w:val="0"/>
                <w:sz w:val="24"/>
                <w:szCs w:val="24"/>
              </w:rPr>
            </w:pPr>
            <w:r>
              <w:rPr>
                <w:rFonts w:hint="eastAsia" w:ascii="仿宋_GB2312" w:hAnsi="仿宋_GB2312" w:cs="仿宋_GB2312"/>
                <w:kern w:val="0"/>
                <w:sz w:val="24"/>
                <w:szCs w:val="24"/>
              </w:rPr>
              <w:t>全市</w:t>
            </w:r>
          </w:p>
        </w:tc>
      </w:tr>
      <w:tr>
        <w:tblPrEx>
          <w:tblCellMar>
            <w:top w:w="0" w:type="dxa"/>
            <w:left w:w="108" w:type="dxa"/>
            <w:bottom w:w="0" w:type="dxa"/>
            <w:right w:w="108" w:type="dxa"/>
          </w:tblCellMar>
        </w:tblPrEx>
        <w:trPr>
          <w:trHeight w:val="3382" w:hRule="atLeast"/>
          <w:jc w:val="center"/>
        </w:trPr>
        <w:tc>
          <w:tcPr>
            <w:tcW w:w="456" w:type="dxa"/>
            <w:tcBorders>
              <w:top w:val="single" w:color="auto" w:sz="4" w:space="0"/>
              <w:left w:val="single" w:color="000000" w:sz="4" w:space="0"/>
              <w:bottom w:val="single" w:color="000000" w:sz="4" w:space="0"/>
              <w:right w:val="single" w:color="000000" w:sz="4" w:space="0"/>
            </w:tcBorders>
            <w:noWrap/>
            <w:vAlign w:val="center"/>
          </w:tcPr>
          <w:p>
            <w:pPr>
              <w:widowControl/>
              <w:spacing w:line="360" w:lineRule="exact"/>
              <w:rPr>
                <w:rFonts w:ascii="仿宋_GB2312" w:hAnsi="仿宋_GB2312" w:cs="仿宋_GB2312"/>
                <w:kern w:val="0"/>
                <w:sz w:val="24"/>
                <w:szCs w:val="24"/>
              </w:rPr>
            </w:pPr>
            <w:r>
              <w:rPr>
                <w:rFonts w:hint="eastAsia" w:ascii="仿宋_GB2312" w:hAnsi="仿宋_GB2312" w:cs="仿宋_GB2312"/>
                <w:kern w:val="0"/>
                <w:sz w:val="24"/>
                <w:szCs w:val="24"/>
              </w:rPr>
              <w:t>38</w:t>
            </w:r>
          </w:p>
        </w:tc>
        <w:tc>
          <w:tcPr>
            <w:tcW w:w="1240" w:type="dxa"/>
            <w:tcBorders>
              <w:top w:val="single" w:color="auto" w:sz="4" w:space="0"/>
              <w:left w:val="nil"/>
              <w:bottom w:val="single" w:color="000000" w:sz="4" w:space="0"/>
              <w:right w:val="single" w:color="000000" w:sz="4" w:space="0"/>
            </w:tcBorders>
            <w:vAlign w:val="center"/>
          </w:tcPr>
          <w:p>
            <w:pPr>
              <w:widowControl/>
              <w:spacing w:line="360" w:lineRule="exact"/>
              <w:rPr>
                <w:rFonts w:ascii="仿宋_GB2312" w:hAnsi="仿宋_GB2312" w:cs="仿宋_GB2312"/>
                <w:kern w:val="0"/>
                <w:sz w:val="24"/>
                <w:szCs w:val="24"/>
              </w:rPr>
            </w:pPr>
            <w:r>
              <w:rPr>
                <w:rFonts w:hint="eastAsia" w:ascii="仿宋_GB2312" w:hAnsi="仿宋_GB2312" w:cs="仿宋_GB2312"/>
                <w:kern w:val="0"/>
                <w:sz w:val="24"/>
                <w:szCs w:val="24"/>
              </w:rPr>
              <w:t>建设私募基金行业自律组织</w:t>
            </w:r>
          </w:p>
        </w:tc>
        <w:tc>
          <w:tcPr>
            <w:tcW w:w="5954" w:type="dxa"/>
            <w:tcBorders>
              <w:top w:val="single" w:color="auto" w:sz="4" w:space="0"/>
              <w:left w:val="nil"/>
              <w:bottom w:val="single" w:color="000000" w:sz="4" w:space="0"/>
              <w:right w:val="single" w:color="000000" w:sz="4" w:space="0"/>
            </w:tcBorders>
            <w:vAlign w:val="center"/>
          </w:tcPr>
          <w:p>
            <w:pPr>
              <w:widowControl/>
              <w:spacing w:line="360" w:lineRule="exact"/>
              <w:rPr>
                <w:rFonts w:ascii="仿宋_GB2312" w:hAnsi="仿宋_GB2312" w:cs="仿宋_GB2312"/>
                <w:kern w:val="0"/>
                <w:sz w:val="24"/>
                <w:szCs w:val="24"/>
              </w:rPr>
            </w:pPr>
            <w:r>
              <w:rPr>
                <w:rFonts w:hint="eastAsia" w:ascii="仿宋_GB2312" w:hAnsi="仿宋_GB2312" w:cs="仿宋_GB2312"/>
                <w:kern w:val="0"/>
                <w:sz w:val="24"/>
                <w:szCs w:val="24"/>
              </w:rPr>
              <w:t>私募基金行业自律组织由深圳私募投资基金管理机构及基金服务相关机构自愿组成，其主要业务包括组织制定会员行为准则，协助业务主管单位指导和组织会员落实有关法规；依法维护会员的合法权益，反映会员建议和要求;收集、整理、发布行业和市场有关信息；组织从业人员开展持续教育和业务培训；对会员之间、会员与投资人之间发生的业务纠纷进行调解；表彰、奖励为行业规范发展和本团体工作做出特殊贡献的会员、从业人员及其他人员；制定和实施行业自律规则和业务规范，监督和检查会员及其从业人员的执业行为等。</w:t>
            </w:r>
          </w:p>
        </w:tc>
        <w:tc>
          <w:tcPr>
            <w:tcW w:w="979" w:type="dxa"/>
            <w:tcBorders>
              <w:top w:val="single" w:color="auto" w:sz="4" w:space="0"/>
              <w:left w:val="nil"/>
              <w:bottom w:val="single" w:color="000000" w:sz="4" w:space="0"/>
              <w:right w:val="single" w:color="000000" w:sz="4" w:space="0"/>
            </w:tcBorders>
            <w:vAlign w:val="center"/>
          </w:tcPr>
          <w:p>
            <w:pPr>
              <w:widowControl/>
              <w:spacing w:line="360" w:lineRule="exact"/>
              <w:rPr>
                <w:rFonts w:ascii="仿宋_GB2312" w:hAnsi="仿宋_GB2312" w:cs="仿宋_GB2312"/>
                <w:kern w:val="0"/>
                <w:sz w:val="24"/>
                <w:szCs w:val="24"/>
              </w:rPr>
            </w:pPr>
            <w:r>
              <w:rPr>
                <w:rFonts w:hint="eastAsia" w:ascii="仿宋_GB2312" w:hAnsi="仿宋_GB2312" w:cs="仿宋_GB2312"/>
                <w:kern w:val="0"/>
                <w:sz w:val="24"/>
                <w:szCs w:val="24"/>
              </w:rPr>
              <w:t>深圳证监局</w:t>
            </w:r>
          </w:p>
        </w:tc>
        <w:tc>
          <w:tcPr>
            <w:tcW w:w="849" w:type="dxa"/>
            <w:tcBorders>
              <w:top w:val="single" w:color="auto" w:sz="4" w:space="0"/>
              <w:left w:val="nil"/>
              <w:bottom w:val="single" w:color="000000" w:sz="4" w:space="0"/>
              <w:right w:val="single" w:color="000000" w:sz="4" w:space="0"/>
            </w:tcBorders>
            <w:vAlign w:val="center"/>
          </w:tcPr>
          <w:p>
            <w:pPr>
              <w:widowControl/>
              <w:spacing w:line="360" w:lineRule="exact"/>
              <w:rPr>
                <w:rFonts w:ascii="仿宋_GB2312" w:hAnsi="仿宋_GB2312" w:cs="仿宋_GB2312"/>
                <w:kern w:val="0"/>
                <w:sz w:val="24"/>
                <w:szCs w:val="24"/>
              </w:rPr>
            </w:pPr>
            <w:r>
              <w:rPr>
                <w:rFonts w:hint="eastAsia" w:ascii="仿宋_GB2312" w:hAnsi="仿宋_GB2312" w:cs="仿宋_GB2312"/>
                <w:kern w:val="0"/>
                <w:sz w:val="24"/>
                <w:szCs w:val="24"/>
              </w:rPr>
              <w:t>全市</w:t>
            </w:r>
          </w:p>
        </w:tc>
      </w:tr>
    </w:tbl>
    <w:p>
      <w:pPr>
        <w:spacing w:line="579" w:lineRule="exact"/>
        <w:jc w:val="left"/>
        <w:rPr>
          <w:rFonts w:ascii="黑体" w:hAnsi="黑体" w:eastAsia="黑体" w:cs="黑体"/>
          <w:szCs w:val="32"/>
        </w:rPr>
      </w:pPr>
      <w:bookmarkStart w:id="0" w:name="_GoBack"/>
      <w:bookmarkEnd w:id="0"/>
    </w:p>
    <w:p>
      <w:pPr>
        <w:spacing w:line="579" w:lineRule="exact"/>
        <w:jc w:val="left"/>
        <w:rPr>
          <w:rFonts w:ascii="黑体" w:hAnsi="黑体" w:eastAsia="黑体" w:cs="黑体"/>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B52A0E"/>
    <w:rsid w:val="334A5CF3"/>
    <w:rsid w:val="64B52A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仿宋_GB2312" w:cs="Times New Roman"/>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2021-08-13T08:19:00Z</dcterms:created>
  <dc:creator>来临危机</dc:creator>
  <cp:lastModifiedBy>来临危机</cp:lastModifiedBy>
  <dcterms:modified xsi:type="dcterms:W3CDTF">2021-08-13T08:25:34Z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96D38FB3283C477DA3D063C58A113991</vt:lpwstr>
  </property>
</Properties>
</file>