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260" w:lineRule="exact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附件</w:t>
      </w:r>
      <w:r>
        <w:rPr>
          <w:rFonts w:ascii="宋体" w:hAnsi="宋体" w:cs="宋体"/>
          <w:bCs/>
          <w:sz w:val="24"/>
          <w:szCs w:val="24"/>
        </w:rPr>
        <w:t>2</w:t>
      </w:r>
    </w:p>
    <w:p>
      <w:pPr>
        <w:spacing w:after="120" w:afterLines="50" w:line="0" w:lineRule="atLeast"/>
        <w:jc w:val="center"/>
        <w:rPr>
          <w:rFonts w:ascii="宋体" w:hAnsi="宋体" w:cs="宋体"/>
          <w:bCs/>
          <w:sz w:val="36"/>
          <w:szCs w:val="36"/>
        </w:rPr>
      </w:pPr>
      <w:bookmarkStart w:id="1" w:name="_GoBack"/>
      <w:r>
        <w:rPr>
          <w:rFonts w:hint="eastAsia" w:ascii="宋体" w:hAnsi="宋体" w:cs="宋体"/>
          <w:bCs/>
          <w:sz w:val="36"/>
          <w:szCs w:val="36"/>
        </w:rPr>
        <w:t>积分要素计分赋值表（试行）</w:t>
      </w:r>
    </w:p>
    <w:bookmarkEnd w:id="1"/>
    <w:tbl>
      <w:tblPr>
        <w:tblStyle w:val="4"/>
        <w:tblW w:w="49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5824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计分项</w:t>
            </w:r>
          </w:p>
        </w:tc>
        <w:tc>
          <w:tcPr>
            <w:tcW w:w="5782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标准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8" w:type="dxa"/>
            <w:vMerge w:val="restart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直接赋予资格项</w:t>
            </w:r>
          </w:p>
        </w:tc>
        <w:tc>
          <w:tcPr>
            <w:tcW w:w="5782" w:type="dxa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入选国内人才引进计划和符合国际公认的专业成就认定标准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8" w:type="dxa"/>
            <w:vMerge w:val="continue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782" w:type="dxa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符合市场导向的鼓励类岗位标准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8" w:type="dxa"/>
            <w:vMerge w:val="continue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782" w:type="dxa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创新创业人才和优秀青年人才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—</w:t>
            </w:r>
          </w:p>
        </w:tc>
      </w:tr>
    </w:tbl>
    <w:p>
      <w:pPr>
        <w:spacing w:line="120" w:lineRule="exact"/>
        <w:rPr>
          <w:rFonts w:hint="eastAsia"/>
        </w:rPr>
      </w:pPr>
    </w:p>
    <w:p>
      <w:pPr>
        <w:spacing w:line="120" w:lineRule="exact"/>
        <w:rPr>
          <w:rFonts w:hint="eastAsia"/>
        </w:rPr>
      </w:pPr>
    </w:p>
    <w:tbl>
      <w:tblPr>
        <w:tblStyle w:val="4"/>
        <w:tblW w:w="49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5824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计分项</w:t>
            </w:r>
          </w:p>
        </w:tc>
        <w:tc>
          <w:tcPr>
            <w:tcW w:w="5824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标准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restart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国内聘用单位支付年薪（万元）</w:t>
            </w:r>
          </w:p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（此项最高20分）</w:t>
            </w: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45及以上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（35,45）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（25,35）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bookmarkStart w:id="0" w:name="OLE_LINK2"/>
            <w:r>
              <w:rPr>
                <w:rFonts w:hint="eastAsia" w:ascii="宋体" w:hAnsi="宋体" w:cs="仿宋_GB2312"/>
                <w:szCs w:val="21"/>
              </w:rPr>
              <w:t>（15,25</w:t>
            </w:r>
            <w:bookmarkEnd w:id="0"/>
            <w:r>
              <w:rPr>
                <w:rFonts w:hint="eastAsia" w:ascii="宋体" w:hAnsi="宋体" w:cs="仿宋_GB2312"/>
                <w:szCs w:val="21"/>
              </w:rPr>
              <w:t>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（7,15）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（5,7）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小于5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restart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受教育程度或取得职业技能资格证书等</w:t>
            </w:r>
          </w:p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（此项最高20分）</w:t>
            </w: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博士；国际通用最高等级职业技能资格证书或高级技师或相当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硕士；技师或相当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学士；高级工或相当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restart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工作年限</w:t>
            </w:r>
          </w:p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（此项最高20分）</w:t>
            </w: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超过2年的，每增1年，增加1分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最高20分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不满2年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restart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每年工作时间</w:t>
            </w:r>
          </w:p>
          <w:p>
            <w:pPr>
              <w:spacing w:line="292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单位：月</w:t>
            </w:r>
          </w:p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（此项最高15分）</w:t>
            </w: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年工作时间9及以上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（6,9）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（3,6）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小于3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restart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汉语水平</w:t>
            </w:r>
          </w:p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（此项最高5分）</w:t>
            </w: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曾经具有中国国籍的外国人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取得以汉语为教学语言的学士及以上学位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通过汉语水平考试（</w:t>
            </w:r>
            <w:r>
              <w:rPr>
                <w:rFonts w:ascii="Times New Roman" w:hAnsi="Times New Roman"/>
                <w:szCs w:val="21"/>
                <w:shd w:val="clear" w:color="auto" w:fill="FFFFFF"/>
              </w:rPr>
              <w:t>HSK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）五级或以上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通过汉语水平考试（</w:t>
            </w:r>
            <w:r>
              <w:rPr>
                <w:rFonts w:ascii="Times New Roman" w:hAnsi="Times New Roman"/>
                <w:szCs w:val="21"/>
                <w:shd w:val="clear" w:color="auto" w:fill="FFFFFF"/>
              </w:rPr>
              <w:t>HSK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）四级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通过汉语水平考试（</w:t>
            </w:r>
            <w:r>
              <w:rPr>
                <w:rFonts w:hint="eastAsia" w:ascii="Times New Roman" w:hAnsi="Times New Roman"/>
                <w:szCs w:val="21"/>
                <w:shd w:val="clear" w:color="auto" w:fill="FFFFFF"/>
              </w:rPr>
              <w:t>HSK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）三级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通过汉语水平考试（</w:t>
            </w:r>
            <w:r>
              <w:rPr>
                <w:rFonts w:hint="eastAsia" w:ascii="Times New Roman" w:hAnsi="Times New Roman"/>
                <w:szCs w:val="21"/>
                <w:shd w:val="clear" w:color="auto" w:fill="FFFFFF"/>
              </w:rPr>
              <w:t>HSK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）二级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通过汉语水平考试（</w:t>
            </w:r>
            <w:r>
              <w:rPr>
                <w:rFonts w:hint="eastAsia" w:ascii="Times New Roman" w:hAnsi="Times New Roman"/>
                <w:szCs w:val="21"/>
                <w:shd w:val="clear" w:color="auto" w:fill="FFFFFF"/>
              </w:rPr>
              <w:t>HSK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）一级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restart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工作定向</w:t>
            </w:r>
          </w:p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（此项最高10分）</w:t>
            </w: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西部地区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东北地区等老工业基地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国家级贫困县等特别地区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restart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年龄（岁）</w:t>
            </w:r>
          </w:p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（此项最高15分）</w:t>
            </w: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（18,25）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（26,45）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（46,55）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（56,60）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大于60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restart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pacing w:val="-4"/>
                <w:szCs w:val="21"/>
              </w:rPr>
              <w:t>毕业于国（境）外高水</w:t>
            </w:r>
            <w:r>
              <w:rPr>
                <w:rFonts w:hint="eastAsia" w:ascii="宋体" w:hAnsi="宋体" w:cs="仿宋_GB2312"/>
                <w:szCs w:val="21"/>
              </w:rPr>
              <w:t>平大学或有全球500强企业任职经验及其他规定条件的</w:t>
            </w:r>
          </w:p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（此项最高5分）</w:t>
            </w: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毕业于国（境）外高水平大学的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有世界500强企业任职经验的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具有专利等知识产权的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已连续在华工作年限5年及以上的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地方鼓励性加分</w:t>
            </w:r>
          </w:p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（此项最高10分）</w:t>
            </w:r>
          </w:p>
        </w:tc>
        <w:tc>
          <w:tcPr>
            <w:tcW w:w="5824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地方经济社会发展需求紧缺特殊人才（由省级外国人工作管理部门制定具体标准）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92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0－10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7" w:h="16839"/>
      <w:pgMar w:top="2268" w:right="1418" w:bottom="2268" w:left="1588" w:header="1418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</w:rPr>
    </w:pPr>
    <w:r>
      <w:rPr>
        <w:rStyle w:val="6"/>
        <w:rFonts w:ascii="Times New Roman" w:hAnsi="Times New Roman"/>
      </w:rPr>
      <w:fldChar w:fldCharType="begin"/>
    </w:r>
    <w:r>
      <w:rPr>
        <w:rStyle w:val="6"/>
        <w:rFonts w:ascii="Times New Roman" w:hAnsi="Times New Roman"/>
      </w:rPr>
      <w:instrText xml:space="preserve">PAGE  </w:instrText>
    </w:r>
    <w:r>
      <w:rPr>
        <w:rStyle w:val="6"/>
        <w:rFonts w:ascii="Times New Roman" w:hAnsi="Times New Roman"/>
      </w:rPr>
      <w:fldChar w:fldCharType="separate"/>
    </w:r>
    <w:r>
      <w:rPr>
        <w:rStyle w:val="6"/>
        <w:rFonts w:ascii="Times New Roman" w:hAnsi="Times New Roman"/>
      </w:rPr>
      <w:t>10</w:t>
    </w:r>
    <w:r>
      <w:rPr>
        <w:rStyle w:val="6"/>
        <w:rFonts w:ascii="Times New Roman" w:hAnsi="Times New Roman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 w:ascii="宋体" w:hAnsi="宋体"/>
      </w:rPr>
      <w:t>深圳市人民政府公报                                                                   2021年第14期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2291C"/>
    <w:rsid w:val="54D2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name="header"/>
    <w:lsdException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2021-04-07T03:36:00Z</dcterms:created>
  <dc:creator>微凉</dc:creator>
  <cp:lastModifiedBy>微凉</cp:lastModifiedBy>
  <dcterms:modified xsi:type="dcterms:W3CDTF">2021-04-07T03:36:59Z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115B3E79A4EF4A64A0D6CBA776C6B1F0</vt:lpwstr>
  </property>
</Properties>
</file>