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  <w:t>附件1</w:t>
      </w:r>
    </w:p>
    <w:p>
      <w:pPr>
        <w:spacing w:line="600" w:lineRule="exact"/>
        <w:ind w:firstLine="640"/>
        <w:jc w:val="center"/>
        <w:rPr>
          <w:rFonts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  <w:t>需要修建防空地下室的民用建筑范围</w:t>
      </w:r>
    </w:p>
    <w:p>
      <w:pPr>
        <w:spacing w:line="600" w:lineRule="exact"/>
        <w:ind w:firstLine="640"/>
        <w:jc w:val="center"/>
        <w:rPr>
          <w:rFonts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</w:pPr>
    </w:p>
    <w:p>
      <w:pPr>
        <w:spacing w:line="600" w:lineRule="exact"/>
        <w:ind w:firstLine="641"/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修建防空地下室的民用建筑一般可分为（包括但不限于）居住建筑、办公建筑、旅馆酒店建筑、商业建筑、居民服务建筑、文化建筑、教育建筑、体育建筑、卫生建筑、科研建筑、交通建筑、广播电影电视建筑等。相应的典型建筑形式见下表。</w:t>
      </w:r>
    </w:p>
    <w:tbl>
      <w:tblPr>
        <w:tblStyle w:val="4"/>
        <w:tblW w:w="92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8"/>
        <w:gridCol w:w="74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黑体" w:hAnsi="黑体" w:eastAsia="黑体" w:cs="黑体"/>
                <w:color w:val="auto"/>
                <w:sz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highlight w:val="none"/>
              </w:rPr>
              <w:t>类别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jc w:val="center"/>
              <w:rPr>
                <w:rFonts w:ascii="黑体" w:hAnsi="黑体" w:eastAsia="黑体" w:cs="黑体"/>
                <w:color w:val="auto"/>
                <w:sz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highlight w:val="none"/>
              </w:rPr>
              <w:t>典型建筑形式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居住建筑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别墅、公寓、普通住宅、宿舍等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办公建筑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行政楼、办公楼等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旅馆酒店建筑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旅游饭店、普通旅馆、招待所等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商业建筑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百货商场、综合商厦、购物中心、会展中心、超市、菜市场、专业商店等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居民服务建筑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餐饮用房屋，银行营业和证券营业用房屋，电信及计算机服务用房屋，邮政用房屋，居住小区的会所，以及洗染店、洗浴室、理发美容店、家电维修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>殡仪馆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文化建筑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文艺演出用房、艺术展览用房、图书馆、纪念馆、档案馆、博物馆、文化宫、游乐场馆、电影院（含影城）、宗教寺院以及舞厅、歌厅、游艺厅等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教育建筑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各类学校的教学楼、图书馆、试验室、体育馆、展览馆等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体育建筑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体育场馆、游泳馆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>跳水馆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卫生建筑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各类医疗机构的病房、医技楼、门诊部、保健站、卫生所、化验室、药房、病案室等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科研建筑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科研楼、实验楼等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交通建筑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机场航站楼，机场指挥塔，交通枢纽，停车楼，高速公路服务区用房，港口码头建筑等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8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广播电影电视建筑</w:t>
            </w:r>
          </w:p>
        </w:tc>
        <w:tc>
          <w:tcPr>
            <w:tcW w:w="7475" w:type="dxa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广播电台、电视台、发射台（站）、地球站、监测台（站）、广播电视节目监管建筑、有线电视网络中心等</w:t>
            </w:r>
          </w:p>
        </w:tc>
      </w:tr>
    </w:tbl>
    <w:p>
      <w:pPr>
        <w:spacing w:line="600" w:lineRule="exact"/>
        <w:ind w:firstLine="0" w:firstLineChars="0"/>
        <w:rPr>
          <w:rFonts w:hint="default" w:ascii="仿宋_GB2312" w:hAnsi="仿宋_GB2312" w:eastAsia="仿宋_GB2312" w:cs="仿宋_GB2312"/>
          <w:color w:val="auto"/>
          <w:sz w:val="24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4"/>
          <w:highlight w:val="none"/>
        </w:rPr>
        <w:t>备注：</w:t>
      </w:r>
      <w:r>
        <w:rPr>
          <w:rFonts w:hint="eastAsia" w:ascii="仿宋_GB2312" w:hAnsi="仿宋_GB2312" w:eastAsia="仿宋_GB2312" w:cs="仿宋_GB2312"/>
          <w:color w:val="auto"/>
          <w:sz w:val="24"/>
          <w:highlight w:val="none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color w:val="auto"/>
          <w:sz w:val="24"/>
          <w:highlight w:val="none"/>
        </w:rPr>
        <w:t>此分类依据《建设工程分类标准》（GB/T 50841-2013）确定。</w:t>
      </w: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pPr>
        <w:spacing w:line="60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EA6254"/>
    <w:rsid w:val="63EA6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  <w:rPr>
      <w:kern w:val="0"/>
      <w:sz w:val="20"/>
      <w:szCs w:val="20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2021-03-25T01:07:00Z</dcterms:created>
  <dc:creator>来临危机</dc:creator>
  <cp:lastModifiedBy>来临危机</cp:lastModifiedBy>
  <dcterms:modified xsi:type="dcterms:W3CDTF">2021-03-25T01:10:54Z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ABEB1AB27735469F93D8638E5D32A7C9</vt:lpwstr>
  </property>
</Properties>
</file>