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Arial"/>
          <w:kern w:val="0"/>
          <w:szCs w:val="32"/>
        </w:rPr>
      </w:pPr>
      <w:r>
        <w:rPr>
          <w:rFonts w:hint="eastAsia" w:ascii="黑体" w:hAnsi="黑体" w:eastAsia="黑体" w:cs="Arial"/>
          <w:kern w:val="0"/>
          <w:szCs w:val="32"/>
        </w:rPr>
        <w:t>附件4</w:t>
      </w:r>
    </w:p>
    <w:p>
      <w:pPr>
        <w:spacing w:line="560" w:lineRule="exact"/>
        <w:ind w:firstLine="832"/>
        <w:jc w:val="center"/>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ind w:left="640" w:firstLine="480"/>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（一）水分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分属于理化指标，是食品的一个内在质量因素，各类食品的产品标准常对水分含量有明确的限值要求，水分高低反映产品的含水量。合理的水分控制，可避免产品的功效成分或营养物质分解、酶解变质、霉变等，有助于保持产品质量稳定</w:t>
      </w:r>
      <w:r>
        <w:rPr>
          <w:rFonts w:hint="eastAsia" w:ascii="仿宋_GB2312" w:hAnsi="宋体" w:cs="宋体"/>
          <w:kern w:val="0"/>
          <w:sz w:val="32"/>
          <w:szCs w:val="32"/>
          <w:lang w:eastAsia="zh-CN"/>
        </w:rPr>
        <w:t>。</w:t>
      </w:r>
      <w:r>
        <w:rPr>
          <w:rFonts w:hint="eastAsia" w:ascii="仿宋_GB2312" w:hAnsi="宋体" w:eastAsia="仿宋_GB2312" w:cs="宋体"/>
          <w:kern w:val="0"/>
          <w:sz w:val="32"/>
          <w:szCs w:val="32"/>
        </w:rPr>
        <w:t>《食品安全国家标准 食用菌及其制品》（GB 7096-</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2014）中规定，香菇</w:t>
      </w:r>
      <w:r>
        <w:rPr>
          <w:rFonts w:hint="eastAsia" w:ascii="仿宋_GB2312" w:hAnsi="仿宋" w:eastAsia="仿宋_GB2312"/>
          <w:sz w:val="32"/>
          <w:szCs w:val="32"/>
        </w:rPr>
        <w:t>干制品、银耳干制品以外的其他食用菌干制品</w:t>
      </w:r>
      <w:r>
        <w:rPr>
          <w:rFonts w:hint="eastAsia" w:ascii="仿宋_GB2312" w:hAnsi="宋体" w:eastAsia="仿宋_GB2312" w:cs="宋体"/>
          <w:kern w:val="0"/>
          <w:sz w:val="32"/>
          <w:szCs w:val="32"/>
        </w:rPr>
        <w:t>水分应</w:t>
      </w:r>
      <w:r>
        <w:rPr>
          <w:rFonts w:hint="eastAsia" w:ascii="仿宋_GB2312" w:hAnsi="仿宋" w:eastAsia="仿宋_GB2312"/>
          <w:sz w:val="32"/>
          <w:szCs w:val="32"/>
        </w:rPr>
        <w:t>≤12g/100g。</w:t>
      </w:r>
      <w:r>
        <w:rPr>
          <w:rFonts w:hint="eastAsia" w:ascii="仿宋_GB2312" w:hAnsi="宋体" w:eastAsia="仿宋_GB2312" w:cs="宋体"/>
          <w:kern w:val="0"/>
          <w:sz w:val="32"/>
          <w:szCs w:val="32"/>
        </w:rPr>
        <w:t>食品的水分不合格对人体健康没有重大影响，但是，水分超标会缩短产品的保质期限，使产品易发生霉变，可能引起产品质量的下降。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（二）</w:t>
      </w:r>
      <w:r>
        <w:rPr>
          <w:rFonts w:ascii="楷体_GB2312" w:hAnsi="宋体" w:eastAsia="楷体_GB2312" w:cs="宋体"/>
          <w:b/>
          <w:kern w:val="0"/>
          <w:sz w:val="32"/>
          <w:szCs w:val="32"/>
        </w:rPr>
        <w:t>过氧化值</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宋体"/>
          <w:color w:val="auto"/>
          <w:kern w:val="0"/>
          <w:sz w:val="32"/>
          <w:szCs w:val="32"/>
          <w:lang w:val="zh-CN"/>
        </w:rPr>
      </w:pPr>
      <w:r>
        <w:rPr>
          <w:rFonts w:ascii="仿宋_GB2312" w:hAnsi="仿宋" w:eastAsia="仿宋_GB2312" w:cs="宋体"/>
          <w:kern w:val="0"/>
          <w:sz w:val="32"/>
          <w:szCs w:val="32"/>
          <w:lang w:val="zh-CN"/>
        </w:rPr>
        <w:t>过氧化值（以脂肪计）主要反映食品中油脂是否氧化变质。随着油脂氧化，过氧化值会逐步升高，虽一般不会对人体的健康产生损害，但严重时会导致肠胃不适、腹泻等症状。《食品安全国家标准 饼干》（GB 7100</w:t>
      </w:r>
      <w:r>
        <w:rPr>
          <w:rFonts w:hint="eastAsia" w:ascii="仿宋_GB2312" w:hAnsi="仿宋" w:cs="宋体"/>
          <w:color w:val="0000FF"/>
          <w:kern w:val="0"/>
          <w:sz w:val="32"/>
          <w:szCs w:val="32"/>
          <w:lang w:val="en-US" w:eastAsia="zh-CN"/>
        </w:rPr>
        <w:t>-</w:t>
      </w:r>
      <w:r>
        <w:rPr>
          <w:rFonts w:ascii="仿宋_GB2312" w:hAnsi="仿宋" w:eastAsia="仿宋_GB2312" w:cs="宋体"/>
          <w:kern w:val="0"/>
          <w:sz w:val="32"/>
          <w:szCs w:val="32"/>
          <w:lang w:val="zh-CN"/>
        </w:rPr>
        <w:t>2015）中规定，饼干中的过氧化值（以脂肪计）的最大限量值为0.25g/100g。过氧化值超标的原因，可能</w:t>
      </w:r>
      <w:r>
        <w:rPr>
          <w:rFonts w:ascii="仿宋_GB2312" w:hAnsi="仿宋" w:eastAsia="仿宋_GB2312" w:cs="宋体"/>
          <w:color w:val="auto"/>
          <w:kern w:val="0"/>
          <w:sz w:val="32"/>
          <w:szCs w:val="32"/>
          <w:lang w:val="zh-CN"/>
        </w:rPr>
        <w:t>是</w:t>
      </w:r>
      <w:r>
        <w:rPr>
          <w:rFonts w:hint="eastAsia" w:ascii="仿宋_GB2312" w:hAnsi="仿宋" w:cs="宋体"/>
          <w:color w:val="auto"/>
          <w:kern w:val="0"/>
          <w:sz w:val="32"/>
          <w:szCs w:val="32"/>
          <w:lang w:val="zh-CN"/>
        </w:rPr>
        <w:t>产品因</w:t>
      </w:r>
      <w:r>
        <w:rPr>
          <w:rFonts w:ascii="仿宋_GB2312" w:hAnsi="仿宋" w:eastAsia="仿宋_GB2312" w:cs="宋体"/>
          <w:color w:val="auto"/>
          <w:kern w:val="0"/>
          <w:sz w:val="32"/>
          <w:szCs w:val="32"/>
          <w:lang w:val="zh-CN"/>
        </w:rPr>
        <w:t>储存不当导致</w:t>
      </w:r>
      <w:r>
        <w:rPr>
          <w:rFonts w:hint="eastAsia" w:ascii="仿宋_GB2312" w:hAnsi="仿宋" w:cs="宋体"/>
          <w:color w:val="auto"/>
          <w:kern w:val="0"/>
          <w:sz w:val="32"/>
          <w:szCs w:val="32"/>
          <w:lang w:val="zh-CN"/>
        </w:rPr>
        <w:t>其中的</w:t>
      </w:r>
      <w:r>
        <w:rPr>
          <w:rFonts w:ascii="仿宋_GB2312" w:hAnsi="仿宋" w:eastAsia="仿宋_GB2312" w:cs="宋体"/>
          <w:color w:val="auto"/>
          <w:kern w:val="0"/>
          <w:sz w:val="32"/>
          <w:szCs w:val="32"/>
          <w:lang w:val="zh-CN"/>
        </w:rPr>
        <w:t>脂肪氧化</w:t>
      </w:r>
      <w:r>
        <w:rPr>
          <w:rFonts w:hint="eastAsia" w:ascii="仿宋_GB2312" w:hAnsi="仿宋" w:cs="宋体"/>
          <w:color w:val="auto"/>
          <w:kern w:val="0"/>
          <w:sz w:val="32"/>
          <w:szCs w:val="32"/>
          <w:lang w:val="zh-CN"/>
        </w:rPr>
        <w:t>或</w:t>
      </w:r>
      <w:r>
        <w:rPr>
          <w:rFonts w:ascii="仿宋_GB2312" w:hAnsi="仿宋" w:eastAsia="仿宋_GB2312" w:cs="宋体"/>
          <w:color w:val="auto"/>
          <w:kern w:val="0"/>
          <w:sz w:val="32"/>
          <w:szCs w:val="32"/>
          <w:lang w:val="zh-CN"/>
        </w:rPr>
        <w:t>生产用油变质，或</w:t>
      </w:r>
      <w:r>
        <w:rPr>
          <w:rFonts w:hint="eastAsia" w:ascii="仿宋_GB2312" w:hAnsi="仿宋" w:cs="宋体"/>
          <w:color w:val="auto"/>
          <w:kern w:val="0"/>
          <w:sz w:val="32"/>
          <w:szCs w:val="32"/>
          <w:lang w:val="zh-CN"/>
        </w:rPr>
        <w:t>因产品</w:t>
      </w:r>
      <w:r>
        <w:rPr>
          <w:rFonts w:ascii="仿宋_GB2312" w:hAnsi="仿宋" w:eastAsia="仿宋_GB2312" w:cs="宋体"/>
          <w:color w:val="auto"/>
          <w:kern w:val="0"/>
          <w:sz w:val="32"/>
          <w:szCs w:val="32"/>
          <w:lang w:val="zh-CN"/>
        </w:rPr>
        <w:t>漏气、储存过程中环境条件控制不当</w:t>
      </w:r>
      <w:r>
        <w:rPr>
          <w:rFonts w:hint="eastAsia" w:ascii="仿宋_GB2312" w:hAnsi="仿宋" w:cs="宋体"/>
          <w:color w:val="auto"/>
          <w:kern w:val="0"/>
          <w:sz w:val="32"/>
          <w:szCs w:val="32"/>
          <w:lang w:val="zh-CN"/>
        </w:rPr>
        <w:t>而</w:t>
      </w:r>
      <w:r>
        <w:rPr>
          <w:rFonts w:ascii="仿宋_GB2312" w:hAnsi="仿宋" w:eastAsia="仿宋_GB2312" w:cs="宋体"/>
          <w:color w:val="auto"/>
          <w:kern w:val="0"/>
          <w:sz w:val="32"/>
          <w:szCs w:val="32"/>
          <w:lang w:val="zh-CN"/>
        </w:rPr>
        <w:t>导致。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仿宋_GB2312"/>
          <w:b/>
          <w:sz w:val="32"/>
          <w:szCs w:val="32"/>
        </w:rPr>
      </w:pPr>
      <w:r>
        <w:rPr>
          <w:rFonts w:hint="eastAsia" w:ascii="楷体_GB2312" w:hAnsi="楷体" w:eastAsia="楷体_GB2312" w:cs="宋体"/>
          <w:b/>
          <w:color w:val="000000"/>
          <w:kern w:val="0"/>
          <w:sz w:val="32"/>
          <w:szCs w:val="32"/>
          <w:lang w:eastAsia="zh-CN"/>
        </w:rPr>
        <w:t>（三）</w:t>
      </w:r>
      <w:r>
        <w:rPr>
          <w:rFonts w:hint="eastAsia" w:ascii="楷体_GB2312" w:hAnsi="楷体" w:eastAsia="楷体_GB2312" w:cs="宋体"/>
          <w:b/>
          <w:color w:val="000000"/>
          <w:kern w:val="0"/>
          <w:sz w:val="32"/>
          <w:szCs w:val="32"/>
        </w:rPr>
        <w:t>铝的残留量</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《绿色食品 淀粉及淀粉制品》（NY/T 1039-2014）中规定,淀粉制品中铝的残留量(干样品，以Al计)不得检出（</w:t>
      </w:r>
      <w:r>
        <w:rPr>
          <w:rFonts w:hint="eastAsia" w:ascii="仿宋_GB2312" w:hAnsi="仿宋" w:eastAsia="仿宋_GB2312"/>
          <w:sz w:val="32"/>
          <w:szCs w:val="32"/>
          <w:lang w:val="en-US" w:eastAsia="zh-CN"/>
        </w:rPr>
        <w:t>＜</w:t>
      </w:r>
      <w:r>
        <w:rPr>
          <w:rFonts w:hint="eastAsia" w:ascii="仿宋_GB2312" w:hAnsi="仿宋" w:eastAsia="仿宋_GB2312"/>
          <w:sz w:val="32"/>
          <w:szCs w:val="32"/>
        </w:rPr>
        <w:t>25 mg/kg）。</w:t>
      </w:r>
      <w:r>
        <w:rPr>
          <w:rFonts w:hint="eastAsia" w:ascii="仿宋_GB2312" w:hAnsi="仿宋" w:eastAsia="仿宋_GB2312" w:cs="仿宋_GB2312"/>
          <w:sz w:val="32"/>
          <w:szCs w:val="32"/>
        </w:rPr>
        <w:t>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kern w:val="0"/>
          <w:sz w:val="32"/>
          <w:szCs w:val="32"/>
        </w:rPr>
      </w:pPr>
      <w:r>
        <w:rPr>
          <w:rFonts w:hint="eastAsia" w:ascii="楷体_GB2312" w:hAnsi="宋体" w:eastAsia="楷体_GB2312" w:cs="宋体"/>
          <w:b/>
          <w:color w:val="auto"/>
          <w:kern w:val="0"/>
          <w:sz w:val="32"/>
          <w:szCs w:val="32"/>
        </w:rPr>
        <w:t>（</w:t>
      </w:r>
      <w:r>
        <w:rPr>
          <w:rFonts w:hint="eastAsia" w:ascii="楷体_GB2312" w:hAnsi="宋体" w:eastAsia="楷体_GB2312" w:cs="宋体"/>
          <w:b/>
          <w:color w:val="auto"/>
          <w:kern w:val="0"/>
          <w:sz w:val="32"/>
          <w:szCs w:val="32"/>
          <w:lang w:eastAsia="zh-CN"/>
        </w:rPr>
        <w:t>四</w:t>
      </w:r>
      <w:r>
        <w:rPr>
          <w:rFonts w:hint="eastAsia" w:ascii="楷体_GB2312" w:hAnsi="宋体" w:eastAsia="楷体_GB2312" w:cs="宋体"/>
          <w:b/>
          <w:color w:val="auto"/>
          <w:kern w:val="0"/>
          <w:sz w:val="32"/>
          <w:szCs w:val="32"/>
        </w:rPr>
        <w:t>）</w:t>
      </w:r>
      <w:r>
        <w:rPr>
          <w:rFonts w:ascii="楷体_GB2312" w:hAnsi="宋体" w:eastAsia="楷体_GB2312" w:cs="宋体"/>
          <w:b/>
          <w:color w:val="auto"/>
          <w:kern w:val="0"/>
          <w:sz w:val="32"/>
          <w:szCs w:val="32"/>
        </w:rPr>
        <w:t>多西</w:t>
      </w:r>
      <w:r>
        <w:rPr>
          <w:rFonts w:ascii="楷体_GB2312" w:hAnsi="宋体" w:eastAsia="楷体_GB2312" w:cs="宋体"/>
          <w:b/>
          <w:kern w:val="0"/>
          <w:sz w:val="32"/>
          <w:szCs w:val="32"/>
        </w:rPr>
        <w:t>环素（强力霉素）</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480" w:firstLineChars="200"/>
        <w:textAlignment w:val="auto"/>
        <w:rPr>
          <w:rFonts w:hint="eastAsia" w:ascii="仿宋_GB2312" w:hAnsi="仿宋" w:eastAsia="仿宋_GB2312" w:cs="仿宋"/>
          <w:kern w:val="2"/>
          <w:sz w:val="32"/>
          <w:szCs w:val="32"/>
          <w:lang w:val="en-US" w:eastAsia="zh-CN" w:bidi="ar-SA"/>
        </w:rPr>
      </w:pPr>
      <w:r>
        <w:rPr>
          <w:rFonts w:ascii="宋体" w:hAnsi="宋体" w:cs="宋体"/>
          <w:kern w:val="0"/>
          <w:sz w:val="24"/>
          <w:szCs w:val="24"/>
        </w:rPr>
        <w:t> </w:t>
      </w:r>
      <w:r>
        <w:rPr>
          <w:rFonts w:hint="eastAsia" w:ascii="仿宋_GB2312" w:hAnsi="仿宋" w:eastAsia="仿宋_GB2312" w:cs="仿宋"/>
          <w:kern w:val="2"/>
          <w:sz w:val="32"/>
          <w:szCs w:val="32"/>
          <w:lang w:val="en-US" w:eastAsia="zh-CN" w:bidi="ar-SA"/>
        </w:rPr>
        <w:t>多西环素（强力霉素）是一种四环素类药物，一般用于治疗衣原体支原体感染。《食品安全国家标准 食品中兽药最大残留限量》（GB 31650-2019）中规定，多西环素（强力霉素）在禽的肌肉中最高残留限量为100μg/kg，但产蛋期家禽禁用（鸡蛋中不得检出多西环素）。长期食用多西环素（强力霉素）残留超标的食品，可使病原体产生耐药性，对人体健康有一定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五</w:t>
      </w:r>
      <w:r>
        <w:rPr>
          <w:rFonts w:hint="eastAsia" w:ascii="楷体_GB2312" w:hAnsi="楷体" w:eastAsia="楷体_GB2312" w:cs="仿宋_GB2312"/>
          <w:b/>
          <w:color w:val="auto"/>
          <w:sz w:val="32"/>
          <w:szCs w:val="32"/>
        </w:rPr>
        <w:t>）脱氢乙酸及其钠盐</w:t>
      </w:r>
    </w:p>
    <w:p>
      <w:pPr>
        <w:spacing w:line="560" w:lineRule="exact"/>
        <w:ind w:firstLine="640" w:firstLineChars="200"/>
        <w:rPr>
          <w:rFonts w:ascii="仿宋_GB2312" w:hAnsi="仿宋" w:eastAsia="仿宋_GB2312" w:cs="宋体"/>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eastAsia="zh-CN"/>
        </w:rPr>
        <w:t>米粉</w:t>
      </w:r>
      <w:r>
        <w:rPr>
          <w:rFonts w:hint="eastAsia" w:ascii="仿宋_GB2312" w:hAnsi="仿宋" w:eastAsia="仿宋_GB2312"/>
          <w:color w:val="auto"/>
          <w:sz w:val="32"/>
          <w:szCs w:val="32"/>
        </w:rPr>
        <w:t>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w:t>
      </w:r>
      <w:r>
        <w:rPr>
          <w:rFonts w:hint="eastAsia" w:ascii="仿宋_GB2312" w:hAnsi="仿宋" w:eastAsia="仿宋_GB2312" w:cs="宋体"/>
          <w:kern w:val="0"/>
          <w:sz w:val="32"/>
          <w:szCs w:val="32"/>
          <w:lang w:val="zh-CN"/>
        </w:rPr>
        <w:t>过量食用脱氢乙酸含量超标的食品可能会引起肝、肾和中枢神经系统的损伤。</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（六）氧乐果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2763-2019）中规定</w:t>
      </w:r>
      <w:r>
        <w:rPr>
          <w:rFonts w:hint="eastAsia" w:ascii="仿宋_GB2312" w:hAnsi="仿宋" w:eastAsia="仿宋_GB2312"/>
          <w:color w:val="auto"/>
          <w:sz w:val="32"/>
          <w:szCs w:val="32"/>
        </w:rPr>
        <w:t>，</w:t>
      </w:r>
      <w:r>
        <w:rPr>
          <w:rFonts w:hint="eastAsia" w:ascii="仿宋_GB2312" w:hAnsi="仿宋"/>
          <w:color w:val="auto"/>
          <w:sz w:val="32"/>
          <w:szCs w:val="32"/>
          <w:lang w:eastAsia="zh-CN"/>
        </w:rPr>
        <w:t>茄果类</w:t>
      </w:r>
      <w:r>
        <w:rPr>
          <w:rFonts w:hint="eastAsia" w:ascii="仿宋_GB2312" w:hAnsi="仿宋" w:eastAsia="仿宋_GB2312"/>
          <w:color w:val="auto"/>
          <w:sz w:val="32"/>
          <w:szCs w:val="32"/>
        </w:rPr>
        <w:t>蔬菜中氧乐果残留限量值应≤0.02mg/kg。大部分喷洒的氧乐果会逸散在周围的土壤、大气、水体中，造成生态系统的污染，有可能会对环境生物产生潜在危害；蔬菜、水果中残留的氧乐果进入人体后对体内胆碱酯酶有抑制作用，可能会</w:t>
      </w:r>
      <w:r>
        <w:rPr>
          <w:rFonts w:hint="eastAsia" w:ascii="仿宋_GB2312" w:hAnsi="仿宋" w:eastAsia="仿宋_GB2312"/>
          <w:sz w:val="32"/>
          <w:szCs w:val="32"/>
        </w:rPr>
        <w:t>对人体造成各种急慢性毒性，甚至致癌致突变。</w:t>
      </w:r>
    </w:p>
    <w:p>
      <w:pPr>
        <w:spacing w:line="560" w:lineRule="exact"/>
        <w:ind w:firstLine="643"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七</w:t>
      </w:r>
      <w:r>
        <w:rPr>
          <w:rFonts w:hint="eastAsia" w:ascii="楷体_GB2312" w:hAnsi="楷体" w:eastAsia="楷体_GB2312" w:cs="楷体"/>
          <w:b/>
          <w:bCs/>
          <w:sz w:val="32"/>
          <w:szCs w:val="32"/>
          <w:shd w:val="clear" w:color="auto" w:fill="FFFFFF"/>
        </w:rPr>
        <w:t>）4-氯苯氧乙酸钠</w:t>
      </w:r>
    </w:p>
    <w:p>
      <w:pPr>
        <w:spacing w:line="560" w:lineRule="exact"/>
        <w:ind w:firstLine="645"/>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w:t>
      </w:r>
      <w:r>
        <w:rPr>
          <w:rFonts w:hint="eastAsia" w:ascii="仿宋_GB2312" w:hAnsi="仿宋" w:eastAsia="仿宋_GB2312" w:cs="Arial"/>
          <w:color w:val="auto"/>
          <w:sz w:val="32"/>
          <w:szCs w:val="32"/>
          <w:shd w:val="clear" w:color="auto" w:fill="FFFFFF"/>
        </w:rPr>
        <w:t>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w:t>
      </w:r>
      <w:r>
        <w:rPr>
          <w:rFonts w:hint="eastAsia" w:ascii="仿宋_GB2312" w:hAnsi="仿宋" w:eastAsia="仿宋_GB2312"/>
          <w:sz w:val="32"/>
          <w:szCs w:val="32"/>
        </w:rPr>
        <w:t>中禁止使用 6-苄基腺嘌呤 等物质的公告》</w:t>
      </w:r>
      <w:r>
        <w:rPr>
          <w:rFonts w:hint="eastAsia" w:ascii="仿宋_GB2312" w:hAnsi="仿宋" w:eastAsia="仿宋_GB2312" w:cs="宋体"/>
          <w:kern w:val="0"/>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spacing w:line="560" w:lineRule="exact"/>
        <w:ind w:firstLine="643"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八</w:t>
      </w:r>
      <w:r>
        <w:rPr>
          <w:rFonts w:hint="eastAsia" w:ascii="楷体_GB2312" w:hAnsi="楷体" w:eastAsia="楷体_GB2312" w:cs="楷体"/>
          <w:b/>
          <w:bCs/>
          <w:sz w:val="32"/>
          <w:szCs w:val="32"/>
          <w:shd w:val="clear" w:color="auto" w:fill="FFFFFF"/>
        </w:rPr>
        <w:t>）6-苄基腺嘌呤</w:t>
      </w:r>
    </w:p>
    <w:p>
      <w:pPr>
        <w:pStyle w:val="8"/>
        <w:shd w:val="clear" w:color="auto" w:fill="FFFFFF"/>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r>
        <w:fldChar w:fldCharType="begin"/>
      </w:r>
      <w:r>
        <w:instrText xml:space="preserve"> HYPERLINK "https://baike.so.com/doc/914377-966548.html" \t "_blank" </w:instrText>
      </w:r>
      <w:r>
        <w:fldChar w:fldCharType="separate"/>
      </w:r>
      <w:r>
        <w:rPr>
          <w:rFonts w:ascii="仿宋_GB2312" w:hAnsi="仿宋" w:eastAsia="仿宋_GB2312"/>
          <w:sz w:val="32"/>
          <w:szCs w:val="32"/>
        </w:rPr>
        <w:t>氨基酸</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w:t>
      </w:r>
      <w:r>
        <w:fldChar w:fldCharType="begin"/>
      </w:r>
      <w:r>
        <w:instrText xml:space="preserve"> HYPERLINK "https://baike.so.com/doc/626543-663171.html" \t "_blank" </w:instrText>
      </w:r>
      <w:r>
        <w:fldChar w:fldCharType="separate"/>
      </w:r>
      <w:r>
        <w:rPr>
          <w:rFonts w:ascii="仿宋_GB2312" w:hAnsi="仿宋" w:eastAsia="仿宋_GB2312"/>
          <w:sz w:val="32"/>
          <w:szCs w:val="32"/>
        </w:rPr>
        <w:t>生长素</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（九）</w:t>
      </w:r>
      <w:r>
        <w:rPr>
          <w:rFonts w:hint="eastAsia" w:ascii="楷体_GB2312" w:hAnsi="楷体" w:eastAsia="楷体_GB2312" w:cs="仿宋_GB2312"/>
          <w:b/>
          <w:sz w:val="32"/>
          <w:szCs w:val="32"/>
        </w:rPr>
        <w:t>二氧化硫残留量</w:t>
      </w:r>
    </w:p>
    <w:p>
      <w:pPr>
        <w:spacing w:line="5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食品中的二氧化硫残留通常是指二氧化硫以及焦亚硫酸钠、焦亚硫酸钾、亚硫酸</w:t>
      </w:r>
      <w:r>
        <w:rPr>
          <w:rFonts w:hint="eastAsia" w:ascii="仿宋_GB2312" w:hAnsi="仿宋" w:eastAsia="仿宋_GB2312" w:cs="宋体"/>
          <w:kern w:val="0"/>
          <w:sz w:val="32"/>
          <w:szCs w:val="32"/>
        </w:rPr>
        <w:t>钠、亚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pacing w:val="14"/>
          <w:sz w:val="32"/>
          <w:szCs w:val="32"/>
        </w:rPr>
        <w:t>《食品安全国家标准 食品添加剂使用标准》</w:t>
      </w:r>
      <w:r>
        <w:rPr>
          <w:rFonts w:hint="eastAsia" w:ascii="仿宋_GB2312" w:hAnsi="仿宋" w:eastAsia="仿宋_GB2312"/>
          <w:spacing w:val="-6"/>
          <w:sz w:val="32"/>
          <w:szCs w:val="32"/>
        </w:rPr>
        <w:t>（GB</w:t>
      </w:r>
      <w:r>
        <w:rPr>
          <w:rFonts w:hint="eastAsia" w:ascii="仿宋_GB2312" w:hAnsi="仿宋" w:eastAsia="仿宋_GB2312"/>
          <w:sz w:val="32"/>
          <w:szCs w:val="32"/>
        </w:rPr>
        <w:t xml:space="preserve"> 2760-2014）中规定</w:t>
      </w:r>
      <w:r>
        <w:rPr>
          <w:rFonts w:hint="eastAsia" w:ascii="仿宋_GB2312" w:hAnsi="仿宋"/>
          <w:sz w:val="32"/>
          <w:szCs w:val="32"/>
          <w:lang w:eastAsia="zh-CN"/>
        </w:rPr>
        <w:t>，干制</w:t>
      </w:r>
      <w:r>
        <w:rPr>
          <w:rFonts w:hint="eastAsia" w:ascii="仿宋_GB2312" w:hAnsi="仿宋" w:eastAsia="仿宋_GB2312"/>
          <w:sz w:val="32"/>
          <w:szCs w:val="32"/>
        </w:rPr>
        <w:t>蔬菜中二氧化硫残留量应≤0.</w:t>
      </w:r>
      <w:r>
        <w:rPr>
          <w:rFonts w:hint="eastAsia" w:ascii="仿宋_GB2312" w:hAnsi="仿宋"/>
          <w:sz w:val="32"/>
          <w:szCs w:val="32"/>
          <w:lang w:val="en-US" w:eastAsia="zh-CN"/>
        </w:rPr>
        <w:t>2</w:t>
      </w:r>
      <w:r>
        <w:rPr>
          <w:rFonts w:hint="eastAsia" w:ascii="仿宋_GB2312" w:hAnsi="仿宋" w:eastAsia="仿宋_GB2312"/>
          <w:sz w:val="32"/>
          <w:szCs w:val="32"/>
        </w:rPr>
        <w:t xml:space="preserve"> g/kg，干制蔬菜中二氧化硫残留量应≤0.2 g/kg。</w:t>
      </w:r>
      <w:r>
        <w:rPr>
          <w:rFonts w:hint="eastAsia" w:ascii="仿宋_GB2312" w:hAnsi="仿宋" w:eastAsia="仿宋_GB2312" w:cs="宋体"/>
          <w:color w:val="000000"/>
          <w:kern w:val="0"/>
          <w:sz w:val="32"/>
          <w:szCs w:val="32"/>
        </w:rPr>
        <w:t>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w:t>
      </w:r>
      <w:r>
        <w:rPr>
          <w:rFonts w:hint="eastAsia" w:ascii="仿宋_GB2312" w:hAnsi="仿宋" w:eastAsia="仿宋_GB2312" w:cs="宋体"/>
          <w:b w:val="0"/>
          <w:bCs w:val="0"/>
          <w:color w:val="000000"/>
          <w:kern w:val="0"/>
          <w:sz w:val="32"/>
          <w:szCs w:val="32"/>
        </w:rPr>
        <w:t>品，则可能对人体健康造成危害，其毒性表现为胃肠道反应，如</w:t>
      </w:r>
      <w:r>
        <w:rPr>
          <w:rFonts w:hint="eastAsia" w:ascii="仿宋_GB2312" w:hAnsi="仿宋" w:eastAsia="仿宋_GB2312" w:cs="宋体"/>
          <w:color w:val="000000"/>
          <w:kern w:val="0"/>
          <w:sz w:val="32"/>
          <w:szCs w:val="32"/>
        </w:rPr>
        <w:t>恶心、呕吐等。此外，还会影响钙吸收，使机体钙丢失。</w:t>
      </w:r>
    </w:p>
    <w:p>
      <w:pPr>
        <w:widowControl/>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w:t>
      </w:r>
      <w:r>
        <w:rPr>
          <w:rFonts w:ascii="楷体_GB2312" w:hAnsi="宋体" w:eastAsia="楷体_GB2312" w:cs="宋体"/>
          <w:b/>
          <w:kern w:val="0"/>
          <w:sz w:val="32"/>
          <w:szCs w:val="32"/>
        </w:rPr>
        <w:t>孔雀石绿</w:t>
      </w:r>
    </w:p>
    <w:p>
      <w:pPr>
        <w:spacing w:line="560" w:lineRule="exact"/>
        <w:ind w:firstLine="640" w:firstLineChars="200"/>
        <w:rPr>
          <w:rFonts w:hint="eastAsia" w:ascii="仿宋_GB2312" w:hAnsi="仿宋" w:eastAsia="仿宋_GB2312" w:cs="宋体"/>
          <w:b w:val="0"/>
          <w:bCs w:val="0"/>
          <w:color w:val="000000"/>
          <w:kern w:val="0"/>
          <w:sz w:val="32"/>
          <w:szCs w:val="32"/>
        </w:rPr>
      </w:pPr>
      <w:r>
        <w:rPr>
          <w:rFonts w:hint="eastAsia" w:ascii="仿宋_GB2312" w:hAnsi="仿宋" w:eastAsia="仿宋_GB2312" w:cs="宋体"/>
          <w:b w:val="0"/>
          <w:bCs w:val="0"/>
          <w:color w:val="000000"/>
          <w:kern w:val="0"/>
          <w:sz w:val="32"/>
          <w:szCs w:val="32"/>
        </w:rPr>
        <w:t>孔雀石绿属于三苯甲烷类化学物，既是染料，也是杀真菌、杀细菌、杀寄生虫的药物。《中华人民共和国农业农村部公共 第250号》中规定，该类药物为禁用兽药，在动物性食品中不得检出。长期食用检出孔雀石绿的食品可能会危害人体健康。</w:t>
      </w:r>
    </w:p>
    <w:p>
      <w:pPr>
        <w:spacing w:line="560" w:lineRule="exact"/>
        <w:ind w:firstLine="482" w:firstLineChars="15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w:t>
      </w:r>
      <w:r>
        <w:rPr>
          <w:rFonts w:hint="eastAsia" w:ascii="楷体_GB2312" w:hAnsi="楷体" w:eastAsia="楷体_GB2312" w:cs="仿宋_GB2312"/>
          <w:b/>
          <w:color w:val="000000" w:themeColor="text1"/>
          <w:sz w:val="32"/>
          <w:szCs w:val="32"/>
          <w14:textFill>
            <w14:solidFill>
              <w14:schemeClr w14:val="tx1"/>
            </w14:solidFill>
          </w14:textFill>
        </w:rPr>
        <w:t>一）</w:t>
      </w:r>
      <w:r>
        <w:rPr>
          <w:rFonts w:hint="eastAsia" w:ascii="楷体_GB2312" w:hAnsi="楷体" w:eastAsia="楷体_GB2312"/>
          <w:b/>
          <w:color w:val="000000" w:themeColor="text1"/>
          <w:sz w:val="32"/>
          <w:szCs w:val="32"/>
          <w14:textFill>
            <w14:solidFill>
              <w14:schemeClr w14:val="tx1"/>
            </w14:solidFill>
          </w14:textFill>
        </w:rPr>
        <w:t>菌落总数</w:t>
      </w:r>
    </w:p>
    <w:p>
      <w:pPr>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宋体"/>
          <w:sz w:val="32"/>
          <w:szCs w:val="32"/>
        </w:rPr>
        <w:t>《鸡精调味料》（SB/T 10371-</w:t>
      </w:r>
      <w:r>
        <w:rPr>
          <w:rFonts w:hint="eastAsia" w:ascii="仿宋_GB2312" w:hAnsi="仿宋" w:eastAsia="仿宋_GB2312" w:cs="宋体"/>
          <w:color w:val="auto"/>
          <w:sz w:val="32"/>
          <w:szCs w:val="32"/>
        </w:rPr>
        <w:t>2003）中规定，鸡精调味料中</w:t>
      </w:r>
      <w:r>
        <w:rPr>
          <w:rFonts w:hint="eastAsia" w:ascii="仿宋_GB2312" w:hAnsi="仿宋" w:cs="宋体"/>
          <w:color w:val="auto"/>
          <w:sz w:val="32"/>
          <w:szCs w:val="32"/>
          <w:lang w:eastAsia="zh-CN"/>
        </w:rPr>
        <w:t>菌落总数</w:t>
      </w:r>
      <w:r>
        <w:rPr>
          <w:rFonts w:hint="eastAsia" w:ascii="仿宋_GB2312" w:hAnsi="仿宋" w:eastAsia="仿宋_GB2312" w:cs="宋体"/>
          <w:color w:val="auto"/>
          <w:sz w:val="32"/>
          <w:szCs w:val="32"/>
        </w:rPr>
        <w:t>应</w:t>
      </w:r>
      <w:r>
        <w:rPr>
          <w:rFonts w:hint="eastAsia" w:ascii="仿宋_GB2312" w:hAnsi="仿宋" w:eastAsia="仿宋_GB2312"/>
          <w:color w:val="auto"/>
          <w:sz w:val="32"/>
          <w:szCs w:val="32"/>
        </w:rPr>
        <w:t>≤</w:t>
      </w:r>
      <w:r>
        <w:rPr>
          <w:rFonts w:hint="eastAsia" w:ascii="仿宋_GB2312" w:hAnsi="仿宋" w:cs="宋体"/>
          <w:color w:val="auto"/>
          <w:sz w:val="32"/>
          <w:szCs w:val="32"/>
          <w:lang w:val="en-US" w:eastAsia="zh-CN"/>
        </w:rPr>
        <w:t>10000 cfu/</w:t>
      </w:r>
      <w:r>
        <w:rPr>
          <w:rFonts w:hint="eastAsia" w:ascii="仿宋_GB2312" w:hAnsi="仿宋" w:eastAsia="仿宋_GB2312" w:cs="宋体"/>
          <w:color w:val="auto"/>
          <w:sz w:val="32"/>
          <w:szCs w:val="32"/>
        </w:rPr>
        <w:t>g。</w:t>
      </w:r>
      <w:r>
        <w:rPr>
          <w:rFonts w:hint="eastAsia" w:ascii="仿宋_GB2312" w:hAnsi="仿宋" w:eastAsia="仿宋_GB2312"/>
          <w:color w:val="auto"/>
          <w:sz w:val="32"/>
          <w:szCs w:val="32"/>
        </w:rPr>
        <w:t>食品的菌落总数超标，说明其产品的卫生状况达不到基本的卫</w:t>
      </w:r>
      <w:r>
        <w:rPr>
          <w:rFonts w:hint="eastAsia" w:ascii="仿宋_GB2312" w:hAnsi="仿宋" w:eastAsia="仿宋_GB2312"/>
          <w:sz w:val="32"/>
          <w:szCs w:val="32"/>
        </w:rPr>
        <w:t>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widowControl/>
        <w:kinsoku/>
        <w:wordWrap/>
        <w:overflowPunct/>
        <w:topLinePunct w:val="0"/>
        <w:autoSpaceDE/>
        <w:autoSpaceDN/>
        <w:bidi w:val="0"/>
        <w:adjustRightInd/>
        <w:snapToGrid/>
        <w:spacing w:line="560" w:lineRule="exact"/>
        <w:ind w:firstLine="630" w:firstLineChars="196"/>
        <w:jc w:val="left"/>
        <w:textAlignment w:val="auto"/>
        <w:rPr>
          <w:rFonts w:ascii="楷体_GB2312" w:hAnsi="宋体" w:eastAsia="楷体_GB2312" w:cs="宋体"/>
          <w:b/>
          <w:color w:val="auto"/>
          <w:kern w:val="0"/>
          <w:sz w:val="32"/>
          <w:szCs w:val="32"/>
          <w:highlight w:val="none"/>
        </w:rPr>
      </w:pPr>
      <w:r>
        <w:rPr>
          <w:rFonts w:hint="eastAsia" w:ascii="楷体_GB2312" w:hAnsi="宋体" w:eastAsia="楷体_GB2312" w:cs="宋体"/>
          <w:b/>
          <w:color w:val="auto"/>
          <w:kern w:val="0"/>
          <w:sz w:val="32"/>
          <w:szCs w:val="32"/>
          <w:highlight w:val="none"/>
        </w:rPr>
        <w:t>（</w:t>
      </w:r>
      <w:r>
        <w:rPr>
          <w:rFonts w:hint="eastAsia" w:ascii="楷体_GB2312" w:hAnsi="宋体" w:eastAsia="楷体_GB2312" w:cs="宋体"/>
          <w:b/>
          <w:color w:val="auto"/>
          <w:kern w:val="0"/>
          <w:sz w:val="32"/>
          <w:szCs w:val="32"/>
          <w:highlight w:val="none"/>
          <w:lang w:val="en-US" w:eastAsia="zh-CN"/>
        </w:rPr>
        <w:t>十二</w:t>
      </w:r>
      <w:r>
        <w:rPr>
          <w:rFonts w:hint="eastAsia" w:ascii="楷体_GB2312" w:hAnsi="宋体" w:eastAsia="楷体_GB2312" w:cs="宋体"/>
          <w:b/>
          <w:color w:val="auto"/>
          <w:kern w:val="0"/>
          <w:sz w:val="32"/>
          <w:szCs w:val="32"/>
          <w:highlight w:val="none"/>
        </w:rPr>
        <w:t>）</w:t>
      </w:r>
      <w:r>
        <w:rPr>
          <w:rFonts w:ascii="楷体_GB2312" w:hAnsi="宋体" w:eastAsia="楷体_GB2312" w:cs="宋体"/>
          <w:b/>
          <w:color w:val="auto"/>
          <w:kern w:val="0"/>
          <w:sz w:val="32"/>
          <w:szCs w:val="32"/>
          <w:highlight w:val="none"/>
        </w:rPr>
        <w:t>糖精钠　　</w:t>
      </w:r>
    </w:p>
    <w:p>
      <w:pPr>
        <w:spacing w:line="560" w:lineRule="exact"/>
        <w:ind w:firstLine="640" w:firstLineChars="200"/>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糖精钠的甜度约为蔗糖的450～550倍，故其十万分之一的水溶液即有甜味感，浓度高了以后还会出现苦味。《食品安全国家标准 食品添加剂使用标准》（GB 2760-2014）中规定，餐饮成品的饮料（自制）不得使用糖精钠。糖精钠是有机化工合成产品，除了在味觉上引起甜的感觉外，对人体无任何营养价值。相反，当人体食用较多的糖精钠时，会影响肠胃消化酶的正常分泌，降低小肠的吸收能力，使食欲减退。</w:t>
      </w:r>
    </w:p>
    <w:p>
      <w:pPr>
        <w:spacing w:line="560" w:lineRule="exact"/>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（十</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）氯氟氰菊酯和高效氯氟氰菊酯</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cs="仿宋"/>
          <w:bCs/>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残留限量值应≤0.05mg/kg</w:t>
      </w:r>
      <w:r>
        <w:rPr>
          <w:rFonts w:hint="eastAsia" w:ascii="仿宋_GB2312" w:hAnsi="仿宋" w:eastAsia="仿宋_GB2312"/>
          <w:color w:val="0000FF"/>
          <w:sz w:val="32"/>
          <w:szCs w:val="32"/>
        </w:rPr>
        <w:t>。</w:t>
      </w:r>
      <w:r>
        <w:rPr>
          <w:rFonts w:hint="eastAsia" w:ascii="仿宋_GB2312" w:hAnsi="仿宋" w:eastAsia="仿宋_GB2312" w:cs="仿宋"/>
          <w:bCs/>
          <w:sz w:val="32"/>
          <w:szCs w:val="32"/>
          <w:shd w:val="clear" w:color="auto" w:fill="FFFFFF"/>
        </w:rPr>
        <w:t>氯氟氰菊酯和高效氯氟氰菊酯</w:t>
      </w:r>
      <w:r>
        <w:rPr>
          <w:rFonts w:hint="eastAsia" w:ascii="仿宋_GB2312" w:hAnsi="仿宋" w:eastAsia="仿宋_GB2312"/>
          <w:sz w:val="32"/>
          <w:szCs w:val="32"/>
        </w:rPr>
        <w:t>对皮肤有刺激作用，接触量大时会引起头痛、头昏、恶心、呕吐、双手颤抖等症状。</w:t>
      </w:r>
    </w:p>
    <w:p>
      <w:pPr>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十四</w:t>
      </w:r>
      <w:r>
        <w:rPr>
          <w:rFonts w:hint="eastAsia" w:ascii="楷体_GB2312" w:hAnsi="楷体" w:eastAsia="楷体_GB2312" w:cs="仿宋_GB2312"/>
          <w:b/>
          <w:sz w:val="32"/>
          <w:szCs w:val="32"/>
        </w:rPr>
        <w:t>)标签</w:t>
      </w:r>
    </w:p>
    <w:p>
      <w:pPr>
        <w:spacing w:line="560" w:lineRule="exact"/>
        <w:ind w:firstLine="640" w:firstLineChars="200"/>
        <w:outlineLvl w:val="0"/>
        <w:rPr>
          <w:rFonts w:ascii="仿宋_GB2312" w:hAnsi="仿宋" w:eastAsia="仿宋_GB2312"/>
          <w:sz w:val="32"/>
          <w:szCs w:val="32"/>
        </w:rPr>
      </w:pPr>
      <w:r>
        <w:rPr>
          <w:rFonts w:ascii="仿宋_GB2312" w:hAnsi="仿宋" w:eastAsia="仿宋_GB2312"/>
          <w:sz w:val="32"/>
          <w:szCs w:val="32"/>
        </w:rPr>
        <w:t>食品标签是指</w:t>
      </w:r>
      <w:r>
        <w:rPr>
          <w:rFonts w:hint="eastAsia" w:ascii="仿宋_GB2312" w:hAnsi="仿宋" w:eastAsia="仿宋_GB2312"/>
          <w:sz w:val="32"/>
          <w:szCs w:val="32"/>
        </w:rPr>
        <w:t>食品包装</w:t>
      </w:r>
      <w:r>
        <w:rPr>
          <w:rFonts w:ascii="仿宋_GB2312" w:hAnsi="仿宋" w:eastAsia="仿宋_GB2312"/>
          <w:sz w:val="32"/>
          <w:szCs w:val="32"/>
        </w:rPr>
        <w:t>上的文字</w:t>
      </w:r>
      <w:r>
        <w:rPr>
          <w:rFonts w:hint="eastAsia" w:ascii="仿宋_GB2312" w:hAnsi="仿宋" w:eastAsia="仿宋_GB2312"/>
          <w:sz w:val="32"/>
          <w:szCs w:val="32"/>
        </w:rPr>
        <w:t>、</w:t>
      </w:r>
      <w:r>
        <w:rPr>
          <w:rFonts w:ascii="仿宋_GB2312" w:hAnsi="仿宋" w:eastAsia="仿宋_GB2312"/>
          <w:sz w:val="32"/>
          <w:szCs w:val="32"/>
        </w:rPr>
        <w:t>图形</w:t>
      </w:r>
      <w:r>
        <w:rPr>
          <w:rFonts w:hint="eastAsia" w:ascii="仿宋_GB2312" w:hAnsi="仿宋" w:eastAsia="仿宋_GB2312"/>
          <w:sz w:val="32"/>
          <w:szCs w:val="32"/>
        </w:rPr>
        <w:t>、</w:t>
      </w:r>
      <w:r>
        <w:rPr>
          <w:rFonts w:ascii="仿宋_GB2312" w:hAnsi="仿宋" w:eastAsia="仿宋_GB2312"/>
          <w:sz w:val="32"/>
          <w:szCs w:val="32"/>
        </w:rPr>
        <w:t>符号及一切说明物</w:t>
      </w:r>
      <w:r>
        <w:rPr>
          <w:rFonts w:hint="eastAsia" w:ascii="仿宋_GB2312" w:hAnsi="仿宋" w:eastAsia="仿宋_GB2312"/>
          <w:sz w:val="32"/>
          <w:szCs w:val="32"/>
        </w:rPr>
        <w:t>。</w:t>
      </w:r>
      <w:r>
        <w:rPr>
          <w:rFonts w:ascii="仿宋_GB2312" w:hAnsi="仿宋" w:eastAsia="仿宋_GB2312"/>
          <w:color w:val="auto"/>
          <w:sz w:val="32"/>
          <w:szCs w:val="32"/>
        </w:rPr>
        <w:t>食品标签</w:t>
      </w:r>
      <w:r>
        <w:rPr>
          <w:rFonts w:ascii="仿宋_GB2312" w:hAnsi="仿宋" w:eastAsia="仿宋_GB2312"/>
          <w:sz w:val="32"/>
          <w:szCs w:val="32"/>
        </w:rPr>
        <w:t>的所有内容</w:t>
      </w:r>
      <w:r>
        <w:rPr>
          <w:rFonts w:hint="eastAsia" w:ascii="仿宋_GB2312" w:hAnsi="仿宋" w:eastAsia="仿宋_GB2312"/>
          <w:sz w:val="32"/>
          <w:szCs w:val="32"/>
        </w:rPr>
        <w:t>应符合法律、法规的规定</w:t>
      </w:r>
      <w:r>
        <w:rPr>
          <w:rFonts w:ascii="仿宋_GB2312" w:hAnsi="仿宋" w:eastAsia="仿宋_GB2312"/>
          <w:sz w:val="32"/>
          <w:szCs w:val="32"/>
        </w:rPr>
        <w:t>，</w:t>
      </w:r>
      <w:r>
        <w:rPr>
          <w:rFonts w:hint="eastAsia" w:ascii="仿宋_GB2312" w:hAnsi="仿宋" w:eastAsia="仿宋_GB2312"/>
          <w:sz w:val="32"/>
          <w:szCs w:val="32"/>
        </w:rPr>
        <w:t>并符合相应食品安全标准的规定；</w:t>
      </w:r>
      <w:r>
        <w:rPr>
          <w:rFonts w:ascii="仿宋_GB2312" w:hAnsi="仿宋" w:eastAsia="仿宋_GB2312"/>
          <w:sz w:val="32"/>
          <w:szCs w:val="32"/>
        </w:rPr>
        <w:t>必须通俗易懂、</w:t>
      </w:r>
      <w:r>
        <w:rPr>
          <w:rFonts w:hint="eastAsia" w:ascii="仿宋_GB2312" w:hAnsi="仿宋" w:eastAsia="仿宋_GB2312"/>
          <w:sz w:val="32"/>
          <w:szCs w:val="32"/>
        </w:rPr>
        <w:t>真实</w:t>
      </w:r>
      <w:r>
        <w:rPr>
          <w:rFonts w:ascii="仿宋_GB2312" w:hAnsi="仿宋" w:eastAsia="仿宋_GB2312"/>
          <w:sz w:val="32"/>
          <w:szCs w:val="32"/>
        </w:rPr>
        <w:t>准确、科学</w:t>
      </w:r>
      <w:r>
        <w:rPr>
          <w:rFonts w:hint="eastAsia" w:ascii="仿宋_GB2312" w:hAnsi="仿宋" w:eastAsia="仿宋_GB2312"/>
          <w:sz w:val="32"/>
          <w:szCs w:val="32"/>
        </w:rPr>
        <w:t>合理。</w:t>
      </w:r>
      <w:r>
        <w:rPr>
          <w:rFonts w:ascii="仿宋_GB2312" w:hAnsi="仿宋" w:eastAsia="仿宋_GB2312"/>
          <w:sz w:val="32"/>
          <w:szCs w:val="32"/>
        </w:rPr>
        <w:t>不</w:t>
      </w:r>
      <w:r>
        <w:rPr>
          <w:rFonts w:hint="eastAsia" w:ascii="仿宋_GB2312" w:hAnsi="仿宋" w:eastAsia="仿宋_GB2312"/>
          <w:sz w:val="32"/>
          <w:szCs w:val="32"/>
        </w:rPr>
        <w:t>应</w:t>
      </w:r>
      <w:r>
        <w:rPr>
          <w:rFonts w:ascii="仿宋_GB2312" w:hAnsi="仿宋" w:eastAsia="仿宋_GB2312"/>
          <w:sz w:val="32"/>
          <w:szCs w:val="32"/>
        </w:rPr>
        <w:t>以直接或</w:t>
      </w:r>
      <w:r>
        <w:rPr>
          <w:rFonts w:hint="eastAsia" w:ascii="仿宋_GB2312" w:hAnsi="仿宋" w:eastAsia="仿宋_GB2312"/>
          <w:sz w:val="32"/>
          <w:szCs w:val="32"/>
        </w:rPr>
        <w:t>以</w:t>
      </w:r>
      <w:r>
        <w:rPr>
          <w:rFonts w:ascii="仿宋_GB2312" w:hAnsi="仿宋" w:eastAsia="仿宋_GB2312"/>
          <w:sz w:val="32"/>
          <w:szCs w:val="32"/>
        </w:rPr>
        <w:t>暗示性的语言、图形、符号</w:t>
      </w:r>
      <w:r>
        <w:rPr>
          <w:rFonts w:hint="eastAsia" w:ascii="仿宋_GB2312" w:hAnsi="仿宋" w:eastAsia="仿宋_GB2312"/>
          <w:sz w:val="32"/>
          <w:szCs w:val="32"/>
        </w:rPr>
        <w:t>，</w:t>
      </w:r>
      <w:r>
        <w:rPr>
          <w:rFonts w:ascii="仿宋_GB2312" w:hAnsi="仿宋" w:eastAsia="仿宋_GB2312"/>
          <w:sz w:val="32"/>
          <w:szCs w:val="32"/>
        </w:rPr>
        <w:t>导致消费者将</w:t>
      </w:r>
      <w:r>
        <w:rPr>
          <w:rFonts w:hint="eastAsia" w:ascii="仿宋_GB2312" w:hAnsi="仿宋" w:eastAsia="仿宋_GB2312"/>
          <w:sz w:val="32"/>
          <w:szCs w:val="32"/>
        </w:rPr>
        <w:t>购买的</w:t>
      </w:r>
      <w:r>
        <w:rPr>
          <w:rFonts w:ascii="仿宋_GB2312" w:hAnsi="仿宋" w:eastAsia="仿宋_GB2312"/>
          <w:sz w:val="32"/>
          <w:szCs w:val="32"/>
        </w:rPr>
        <w:t>食品或食品的某一性质与另一食品混淆。也不</w:t>
      </w:r>
      <w:r>
        <w:rPr>
          <w:rFonts w:hint="eastAsia" w:ascii="仿宋_GB2312" w:hAnsi="仿宋" w:eastAsia="仿宋_GB2312"/>
          <w:sz w:val="32"/>
          <w:szCs w:val="32"/>
        </w:rPr>
        <w:t>应</w:t>
      </w:r>
      <w:r>
        <w:rPr>
          <w:rFonts w:ascii="仿宋_GB2312" w:hAnsi="仿宋" w:eastAsia="仿宋_GB2312"/>
          <w:sz w:val="32"/>
          <w:szCs w:val="32"/>
        </w:rPr>
        <w:t>以</w:t>
      </w:r>
      <w:r>
        <w:rPr>
          <w:rFonts w:hint="eastAsia" w:ascii="仿宋_GB2312" w:hAnsi="仿宋" w:eastAsia="仿宋_GB2312"/>
          <w:sz w:val="32"/>
          <w:szCs w:val="32"/>
        </w:rPr>
        <w:t>虚假夸大</w:t>
      </w:r>
      <w:r>
        <w:rPr>
          <w:rFonts w:ascii="仿宋_GB2312" w:hAnsi="仿宋" w:eastAsia="仿宋_GB2312"/>
          <w:sz w:val="32"/>
          <w:szCs w:val="32"/>
        </w:rPr>
        <w:t>的、引起误解的或欺骗性的方式描述或介绍食品</w:t>
      </w:r>
      <w:r>
        <w:rPr>
          <w:rFonts w:hint="eastAsia" w:ascii="仿宋_GB2312" w:hAnsi="仿宋" w:eastAsia="仿宋_GB2312"/>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sz w:val="32"/>
          <w:szCs w:val="32"/>
        </w:rPr>
        <w:t>本次抽检</w:t>
      </w:r>
      <w:r>
        <w:rPr>
          <w:rFonts w:ascii="仿宋_GB2312" w:hAnsi="仿宋" w:eastAsia="仿宋_GB2312"/>
          <w:sz w:val="32"/>
          <w:szCs w:val="32"/>
        </w:rPr>
        <w:t>发现</w:t>
      </w:r>
      <w:r>
        <w:rPr>
          <w:rFonts w:hint="eastAsia" w:ascii="仿宋_GB2312" w:hAnsi="仿宋" w:eastAsia="仿宋_GB2312"/>
          <w:color w:val="auto"/>
          <w:sz w:val="32"/>
          <w:szCs w:val="32"/>
        </w:rPr>
        <w:t>样品标签不符合《食品安全国家标准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7718</w:t>
      </w:r>
      <w:r>
        <w:rPr>
          <w:rFonts w:ascii="仿宋_GB2312" w:hAnsi="仿宋" w:eastAsia="仿宋_GB2312"/>
          <w:color w:val="auto"/>
          <w:sz w:val="32"/>
          <w:szCs w:val="32"/>
        </w:rPr>
        <w:t>-2011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和</w:t>
      </w:r>
      <w:r>
        <w:rPr>
          <w:rFonts w:hint="eastAsia" w:ascii="仿宋_GB2312" w:hAnsi="仿宋" w:eastAsia="仿宋_GB2312"/>
          <w:color w:val="auto"/>
          <w:sz w:val="32"/>
          <w:szCs w:val="32"/>
        </w:rPr>
        <w:t>《食品安全国家标准</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rPr>
        <w:t>预包装食品营养标签通则》（</w:t>
      </w:r>
      <w:r>
        <w:rPr>
          <w:rFonts w:ascii="仿宋_GB2312" w:hAnsi="仿宋" w:eastAsia="仿宋_GB2312"/>
          <w:color w:val="auto"/>
          <w:sz w:val="32"/>
          <w:szCs w:val="32"/>
        </w:rPr>
        <w:t>GB</w:t>
      </w:r>
      <w:r>
        <w:rPr>
          <w:rFonts w:hint="eastAsia" w:ascii="仿宋_GB2312" w:hAnsi="仿宋" w:eastAsia="仿宋_GB2312"/>
          <w:color w:val="auto"/>
          <w:sz w:val="32"/>
          <w:szCs w:val="32"/>
        </w:rPr>
        <w:t xml:space="preserve"> 28050</w:t>
      </w:r>
      <w:r>
        <w:rPr>
          <w:rFonts w:ascii="仿宋_GB2312" w:hAnsi="仿宋" w:eastAsia="仿宋_GB2312"/>
          <w:color w:val="auto"/>
          <w:sz w:val="32"/>
          <w:szCs w:val="32"/>
        </w:rPr>
        <w:t>-20</w:t>
      </w:r>
      <w:r>
        <w:rPr>
          <w:rFonts w:hint="eastAsia" w:ascii="仿宋_GB2312" w:hAnsi="仿宋" w:eastAsia="仿宋_GB2312"/>
          <w:color w:val="auto"/>
          <w:sz w:val="32"/>
          <w:szCs w:val="32"/>
        </w:rPr>
        <w:t>11）</w:t>
      </w:r>
      <w:r>
        <w:rPr>
          <w:rFonts w:hint="eastAsia" w:ascii="仿宋_GB2312" w:hAnsi="仿宋" w:eastAsia="仿宋_GB2312"/>
          <w:color w:val="auto"/>
          <w:sz w:val="32"/>
          <w:szCs w:val="32"/>
          <w:lang w:eastAsia="zh-CN"/>
        </w:rPr>
        <w:t>的</w:t>
      </w:r>
      <w:r>
        <w:rPr>
          <w:rFonts w:hint="eastAsia" w:ascii="仿宋_GB2312" w:hAnsi="仿宋" w:eastAsia="仿宋_GB2312"/>
          <w:color w:val="auto"/>
          <w:sz w:val="32"/>
          <w:szCs w:val="32"/>
        </w:rPr>
        <w:t>规定。食品标签不合格，虽对人体并无直接的危害，但标签标识不规范、不合理，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十五</w:t>
      </w:r>
      <w:r>
        <w:rPr>
          <w:rFonts w:hint="eastAsia" w:ascii="楷体_GB2312" w:hAnsi="楷体" w:eastAsia="楷体_GB2312" w:cs="Arial"/>
          <w:b/>
          <w:sz w:val="32"/>
          <w:szCs w:val="32"/>
          <w:shd w:val="clear" w:color="auto" w:fill="FFFFFF"/>
        </w:rPr>
        <w:t>）氟苯尼考</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spacing w:line="560" w:lineRule="exact"/>
        <w:ind w:firstLine="643" w:firstLineChars="200"/>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十六</w:t>
      </w:r>
      <w:r>
        <w:rPr>
          <w:rFonts w:hint="eastAsia" w:ascii="楷体_GB2312" w:hAnsi="楷体" w:eastAsia="楷体_GB2312" w:cs="Arial"/>
          <w:b/>
          <w:sz w:val="32"/>
          <w:szCs w:val="32"/>
          <w:shd w:val="clear" w:color="auto" w:fill="FFFFFF"/>
        </w:rPr>
        <w:t>）氯霉素</w:t>
      </w:r>
      <w:bookmarkStart w:id="0" w:name="_GoBack"/>
      <w:bookmarkEnd w:id="0"/>
    </w:p>
    <w:p>
      <w:pPr>
        <w:widowControl/>
        <w:spacing w:line="560" w:lineRule="exact"/>
        <w:ind w:firstLine="640" w:firstLineChars="200"/>
      </w:pPr>
      <w:r>
        <w:rPr>
          <w:rFonts w:hint="eastAsia" w:ascii="仿宋_GB2312" w:hAnsi="仿宋" w:eastAsia="仿宋_GB2312" w:cs="仿宋"/>
          <w:sz w:val="32"/>
          <w:szCs w:val="32"/>
        </w:rPr>
        <w:t>氯霉素一种杀菌剂，也是高效广谱的抗生素，对革兰氏阳性菌和革兰氏阴性菌均有较好的抑制作用。</w:t>
      </w:r>
      <w:r>
        <w:rPr>
          <w:rFonts w:hint="eastAsia" w:ascii="仿宋_GB2312" w:hAnsi="仿宋" w:eastAsia="仿宋_GB2312"/>
          <w:sz w:val="32"/>
          <w:szCs w:val="32"/>
        </w:rPr>
        <w:t>《</w:t>
      </w:r>
      <w:r>
        <w:rPr>
          <w:rFonts w:hint="eastAsia" w:ascii="仿宋_GB2312" w:hAnsi="仿宋" w:eastAsia="仿宋_GB2312"/>
          <w:sz w:val="32"/>
          <w:szCs w:val="32"/>
          <w:lang w:eastAsia="zh-CN"/>
        </w:rPr>
        <w:t>关于印发</w:t>
      </w:r>
      <w:r>
        <w:rPr>
          <w:rFonts w:hint="eastAsia" w:ascii="仿宋_GB2312" w:hAnsi="仿宋" w:eastAsia="仿宋_GB2312"/>
          <w:sz w:val="32"/>
          <w:szCs w:val="32"/>
          <w:lang w:val="en-US" w:eastAsia="zh-CN"/>
        </w:rPr>
        <w:t>&lt;食品中可能违法添加的非食用物质和易滥用的食品添加剂品种名单（第五批）的通知&gt;</w:t>
      </w:r>
      <w:r>
        <w:rPr>
          <w:rFonts w:hint="eastAsia" w:ascii="仿宋_GB2312" w:hAnsi="仿宋" w:eastAsia="仿宋_GB2312"/>
          <w:sz w:val="32"/>
          <w:szCs w:val="32"/>
        </w:rPr>
        <w:t>》</w:t>
      </w:r>
      <w:r>
        <w:rPr>
          <w:rFonts w:hint="eastAsia" w:ascii="仿宋_GB2312" w:hAnsi="仿宋" w:eastAsia="仿宋_GB2312"/>
          <w:color w:val="auto"/>
          <w:sz w:val="32"/>
          <w:szCs w:val="32"/>
        </w:rPr>
        <w:t>中规定，</w:t>
      </w:r>
      <w:r>
        <w:rPr>
          <w:rFonts w:hint="eastAsia" w:ascii="仿宋_GB2312" w:hAnsi="仿宋" w:eastAsia="仿宋_GB2312"/>
          <w:sz w:val="32"/>
          <w:szCs w:val="32"/>
        </w:rPr>
        <w:t>该类药物为禁用兽药</w:t>
      </w:r>
      <w:r>
        <w:rPr>
          <w:rFonts w:ascii="仿宋_GB2312" w:hAnsi="宋体" w:eastAsia="仿宋_GB2312" w:cs="宋体"/>
          <w:kern w:val="0"/>
          <w:sz w:val="32"/>
          <w:szCs w:val="32"/>
        </w:rPr>
        <w:t>，在动物性食品中不得检出。</w:t>
      </w:r>
      <w:r>
        <w:rPr>
          <w:rFonts w:hint="eastAsia" w:ascii="仿宋_GB2312" w:hAnsi="仿宋" w:eastAsia="仿宋_GB2312" w:cs="仿宋"/>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（二）规范药物使用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三</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四</w:t>
      </w:r>
      <w:r>
        <w:rPr>
          <w:rFonts w:hint="eastAsia" w:ascii="楷体_GB2312" w:hAnsi="楷体" w:eastAsia="楷体_GB2312"/>
          <w:b/>
          <w:color w:val="auto"/>
          <w:sz w:val="32"/>
          <w:szCs w:val="32"/>
        </w:rPr>
        <w:t>）加强食品出厂检验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10D4506"/>
    <w:rsid w:val="07C82C95"/>
    <w:rsid w:val="091C5D20"/>
    <w:rsid w:val="0C455D22"/>
    <w:rsid w:val="0CD4225F"/>
    <w:rsid w:val="0EA93008"/>
    <w:rsid w:val="0EC839C2"/>
    <w:rsid w:val="10AD16A7"/>
    <w:rsid w:val="1162065F"/>
    <w:rsid w:val="11B32DA0"/>
    <w:rsid w:val="16396F4B"/>
    <w:rsid w:val="16A52765"/>
    <w:rsid w:val="176818BF"/>
    <w:rsid w:val="17FA5E44"/>
    <w:rsid w:val="181E6360"/>
    <w:rsid w:val="199008F8"/>
    <w:rsid w:val="1B042E72"/>
    <w:rsid w:val="1C2B3ECE"/>
    <w:rsid w:val="1F456A61"/>
    <w:rsid w:val="200B2815"/>
    <w:rsid w:val="231A399D"/>
    <w:rsid w:val="249A66FD"/>
    <w:rsid w:val="25D84592"/>
    <w:rsid w:val="274815F0"/>
    <w:rsid w:val="27D171E0"/>
    <w:rsid w:val="2DA27B95"/>
    <w:rsid w:val="2FFC71C6"/>
    <w:rsid w:val="323F00BC"/>
    <w:rsid w:val="324700B2"/>
    <w:rsid w:val="36A26439"/>
    <w:rsid w:val="387272BF"/>
    <w:rsid w:val="38865B2F"/>
    <w:rsid w:val="3BFE4DC9"/>
    <w:rsid w:val="3E051E67"/>
    <w:rsid w:val="3E88008E"/>
    <w:rsid w:val="3E984FE9"/>
    <w:rsid w:val="3EC80CDE"/>
    <w:rsid w:val="44141429"/>
    <w:rsid w:val="464A4562"/>
    <w:rsid w:val="4848609B"/>
    <w:rsid w:val="4B37566A"/>
    <w:rsid w:val="4EBC0748"/>
    <w:rsid w:val="4FED4605"/>
    <w:rsid w:val="52FE47AC"/>
    <w:rsid w:val="533A17A5"/>
    <w:rsid w:val="53465E28"/>
    <w:rsid w:val="59E33FF0"/>
    <w:rsid w:val="59EA54F5"/>
    <w:rsid w:val="5E214E94"/>
    <w:rsid w:val="5E7004E1"/>
    <w:rsid w:val="6048573D"/>
    <w:rsid w:val="62547A4D"/>
    <w:rsid w:val="63E10B0C"/>
    <w:rsid w:val="65E578BD"/>
    <w:rsid w:val="6792245C"/>
    <w:rsid w:val="6801069F"/>
    <w:rsid w:val="69130912"/>
    <w:rsid w:val="69CB77D8"/>
    <w:rsid w:val="6A323B2C"/>
    <w:rsid w:val="6ECD36FF"/>
    <w:rsid w:val="72A04A1F"/>
    <w:rsid w:val="72F24D9D"/>
    <w:rsid w:val="738026E3"/>
    <w:rsid w:val="75CA36CA"/>
    <w:rsid w:val="763955BF"/>
    <w:rsid w:val="77FC16E5"/>
    <w:rsid w:val="78FE0A2F"/>
    <w:rsid w:val="7B5E04A9"/>
    <w:rsid w:val="7C073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175</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2021-03-01T06:59:53Z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