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textAlignment w:val="auto"/>
        <w:rPr>
          <w:rFonts w:ascii="黑体" w:hAnsi="黑体" w:eastAsia="黑体" w:cs="Arial"/>
          <w:kern w:val="0"/>
          <w:szCs w:val="32"/>
        </w:rPr>
      </w:pPr>
      <w:r>
        <w:rPr>
          <w:rFonts w:hint="eastAsia" w:ascii="黑体" w:hAnsi="黑体" w:eastAsia="黑体" w:cs="Arial"/>
          <w:kern w:val="0"/>
          <w:szCs w:val="32"/>
        </w:rPr>
        <w:t>附件4</w:t>
      </w:r>
    </w:p>
    <w:p>
      <w:pPr>
        <w:pageBreakBefore w:val="0"/>
        <w:kinsoku/>
        <w:wordWrap/>
        <w:overflowPunct/>
        <w:topLinePunct w:val="0"/>
        <w:autoSpaceDE/>
        <w:autoSpaceDN/>
        <w:bidi w:val="0"/>
        <w:adjustRightInd/>
        <w:snapToGrid/>
        <w:spacing w:line="560" w:lineRule="exact"/>
        <w:ind w:firstLine="832"/>
        <w:jc w:val="center"/>
        <w:textAlignment w:val="auto"/>
        <w:rPr>
          <w:rFonts w:ascii="华文中宋" w:hAnsi="华文中宋" w:eastAsia="华文中宋"/>
          <w:spacing w:val="-12"/>
          <w:sz w:val="44"/>
          <w:szCs w:val="44"/>
        </w:rPr>
      </w:pPr>
      <w:r>
        <w:rPr>
          <w:rFonts w:hint="eastAsia" w:ascii="华文中宋" w:hAnsi="华文中宋" w:eastAsia="华文中宋"/>
          <w:spacing w:val="-12"/>
          <w:sz w:val="44"/>
          <w:szCs w:val="44"/>
        </w:rPr>
        <w:t>部分不合格项目小知识</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仿宋_GB2312"/>
          <w:szCs w:val="32"/>
        </w:rPr>
      </w:pPr>
    </w:p>
    <w:p>
      <w:pPr>
        <w:pageBreakBefore w:val="0"/>
        <w:kinsoku/>
        <w:wordWrap/>
        <w:overflowPunct/>
        <w:topLinePunct w:val="0"/>
        <w:autoSpaceDE/>
        <w:autoSpaceDN/>
        <w:bidi w:val="0"/>
        <w:adjustRightInd/>
        <w:snapToGrid/>
        <w:spacing w:line="560" w:lineRule="exact"/>
        <w:textAlignment w:val="auto"/>
        <w:rPr>
          <w:rFonts w:ascii="黑体" w:hAnsi="黑体" w:eastAsia="黑体" w:cs="仿宋_GB2312"/>
          <w:szCs w:val="32"/>
        </w:rPr>
      </w:pPr>
      <w:r>
        <w:rPr>
          <w:rFonts w:hint="eastAsia" w:ascii="黑体" w:hAnsi="黑体" w:eastAsia="黑体" w:cs="仿宋_GB2312"/>
          <w:szCs w:val="32"/>
        </w:rPr>
        <w:t>一、不合格项目小知识</w:t>
      </w:r>
    </w:p>
    <w:p>
      <w:pPr>
        <w:pStyle w:val="4"/>
        <w:pageBreakBefore w:val="0"/>
        <w:kinsoku/>
        <w:wordWrap/>
        <w:overflowPunct/>
        <w:topLinePunct w:val="0"/>
        <w:autoSpaceDE/>
        <w:autoSpaceDN/>
        <w:bidi w:val="0"/>
        <w:adjustRightInd/>
        <w:snapToGrid/>
        <w:spacing w:before="0" w:after="0" w:line="560" w:lineRule="exact"/>
        <w:ind w:firstLine="643"/>
        <w:textAlignment w:val="auto"/>
      </w:pPr>
      <w:r>
        <w:rPr>
          <w:rFonts w:hint="eastAsia"/>
        </w:rPr>
        <w:t>（</w:t>
      </w:r>
      <w:r>
        <w:rPr>
          <w:rFonts w:hint="eastAsia"/>
          <w:lang w:eastAsia="zh-CN"/>
        </w:rPr>
        <w:t>一</w:t>
      </w:r>
      <w:r>
        <w:rPr>
          <w:rFonts w:hint="eastAsia"/>
        </w:rPr>
        <w:t>）过氧化值</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szCs w:val="32"/>
        </w:rPr>
      </w:pPr>
      <w:r>
        <w:rPr>
          <w:rFonts w:hint="eastAsia" w:ascii="仿宋_GB2312" w:hAnsi="仿宋"/>
          <w:szCs w:val="32"/>
        </w:rPr>
        <w:t>过氧化值（以脂肪计）主要反映食品中油脂是否氧化变质。随着油脂氧化，过氧化值会逐步升高，虽一般不会对人体的健康产生损害，但严重时会导致肠胃不适、腹泻等症状。</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szCs w:val="32"/>
        </w:rPr>
        <w:t>食品中过氧化值超标的原因，可能是加工过程使用了不合格的油脂或者食品储存不当导致食品中的脂肪被氧化。</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楷体" w:cs="Arial"/>
          <w:szCs w:val="32"/>
          <w:shd w:val="clear" w:color="auto" w:fill="FFFFFF"/>
        </w:rPr>
      </w:pPr>
      <w:r>
        <w:rPr>
          <w:rFonts w:hint="eastAsia" w:ascii="楷体_GB2312" w:hAnsi="楷体" w:cs="仿宋_GB2312"/>
          <w:szCs w:val="32"/>
        </w:rPr>
        <w:t>（</w:t>
      </w:r>
      <w:r>
        <w:rPr>
          <w:rFonts w:hint="eastAsia" w:ascii="楷体_GB2312" w:hAnsi="楷体" w:cs="仿宋_GB2312"/>
          <w:szCs w:val="32"/>
          <w:lang w:eastAsia="zh-CN"/>
        </w:rPr>
        <w:t>二</w:t>
      </w:r>
      <w:r>
        <w:rPr>
          <w:rFonts w:hint="eastAsia" w:ascii="楷体_GB2312" w:hAnsi="楷体" w:cs="仿宋_GB2312"/>
          <w:szCs w:val="32"/>
        </w:rPr>
        <w:t>）</w:t>
      </w:r>
      <w:r>
        <w:rPr>
          <w:rFonts w:hint="eastAsia" w:ascii="楷体_GB2312" w:hAnsi="楷体" w:cs="Arial"/>
          <w:szCs w:val="32"/>
          <w:shd w:val="clear" w:color="auto" w:fill="FFFFFF"/>
        </w:rPr>
        <w:t>恩诺沙星</w:t>
      </w:r>
    </w:p>
    <w:p>
      <w:pPr>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cs="宋体"/>
          <w:color w:val="auto"/>
          <w:kern w:val="0"/>
          <w:szCs w:val="32"/>
          <w:lang w:val="zh-CN"/>
        </w:rPr>
      </w:pPr>
      <w:r>
        <w:rPr>
          <w:rFonts w:hint="eastAsia" w:ascii="仿宋_GB2312" w:hAnsi="仿宋" w:cs="宋体"/>
          <w:kern w:val="0"/>
          <w:szCs w:val="32"/>
          <w:lang w:val="zh-CN"/>
        </w:rPr>
        <w:t>恩诺沙星属于氟喹诺酮类药物，是一类人工合成的广谱抗菌药，用于治疗动物的皮肤感染、呼吸道感染等，是动物专属用药。《食品安全国家标准 食品中兽药最大残留限量》（G</w:t>
      </w:r>
      <w:r>
        <w:rPr>
          <w:rFonts w:ascii="仿宋_GB2312" w:hAnsi="仿宋" w:cs="宋体"/>
          <w:kern w:val="0"/>
          <w:szCs w:val="32"/>
          <w:lang w:val="zh-CN"/>
        </w:rPr>
        <w:t>B 31650-2019</w:t>
      </w:r>
      <w:r>
        <w:rPr>
          <w:rFonts w:hint="eastAsia" w:ascii="仿宋_GB2312" w:hAnsi="仿宋" w:cs="宋体"/>
          <w:kern w:val="0"/>
          <w:szCs w:val="32"/>
          <w:lang w:val="zh-CN"/>
        </w:rPr>
        <w:t>）中规定，恩诺沙星（最大残留限量以恩诺沙星和环丙沙星之和计）可用于猪、牛、羊、兔、禽、鱼等食用畜禽、水产动物</w:t>
      </w:r>
      <w:r>
        <w:rPr>
          <w:rFonts w:hint="eastAsia" w:ascii="仿宋_GB2312" w:hAnsi="仿宋" w:cs="宋体"/>
          <w:color w:val="auto"/>
          <w:kern w:val="0"/>
          <w:szCs w:val="32"/>
          <w:lang w:val="zh-CN"/>
        </w:rPr>
        <w:t>，</w:t>
      </w:r>
      <w:r>
        <w:rPr>
          <w:rFonts w:hint="eastAsia" w:ascii="仿宋_GB2312"/>
          <w:color w:val="auto"/>
          <w:sz w:val="32"/>
          <w:szCs w:val="32"/>
          <w:lang w:eastAsia="zh-CN"/>
        </w:rPr>
        <w:t>鱼类（皮</w:t>
      </w:r>
      <w:r>
        <w:rPr>
          <w:rFonts w:hint="eastAsia" w:ascii="仿宋_GB2312"/>
          <w:color w:val="auto"/>
          <w:sz w:val="32"/>
          <w:szCs w:val="32"/>
          <w:lang w:val="en-US" w:eastAsia="zh-CN"/>
        </w:rPr>
        <w:t>+肉</w:t>
      </w:r>
      <w:r>
        <w:rPr>
          <w:rFonts w:hint="eastAsia" w:ascii="仿宋_GB2312"/>
          <w:color w:val="auto"/>
          <w:sz w:val="32"/>
          <w:szCs w:val="32"/>
          <w:lang w:eastAsia="zh-CN"/>
        </w:rPr>
        <w:t>）</w:t>
      </w:r>
      <w:r>
        <w:rPr>
          <w:rFonts w:hint="eastAsia" w:ascii="仿宋_GB2312" w:eastAsia="仿宋_GB2312"/>
          <w:color w:val="auto"/>
          <w:sz w:val="32"/>
          <w:szCs w:val="32"/>
        </w:rPr>
        <w:t>中恩诺沙星(以恩诺沙星与环丙沙星之和计)应≤100μg/kg</w:t>
      </w:r>
      <w:r>
        <w:rPr>
          <w:rFonts w:hint="eastAsia" w:ascii="仿宋_GB2312" w:hAnsi="仿宋" w:cs="宋体"/>
          <w:color w:val="auto"/>
          <w:kern w:val="0"/>
          <w:szCs w:val="32"/>
          <w:lang w:val="zh-CN"/>
        </w:rPr>
        <w:t>。</w:t>
      </w:r>
      <w:r>
        <w:rPr>
          <w:rFonts w:hint="eastAsia" w:ascii="仿宋_GB2312" w:hAnsi="仿宋" w:cs="宋体"/>
          <w:color w:val="auto"/>
          <w:kern w:val="0"/>
          <w:szCs w:val="32"/>
          <w:lang w:val="zh-CN"/>
        </w:rPr>
        <w:t>长期食用恩诺沙星残留量超标的水产品</w:t>
      </w:r>
      <w:r>
        <w:rPr>
          <w:rFonts w:hint="eastAsia" w:ascii="仿宋_GB2312" w:hAnsi="仿宋" w:cs="宋体"/>
          <w:color w:val="auto"/>
          <w:kern w:val="0"/>
          <w:szCs w:val="32"/>
          <w:lang w:val="zh-CN"/>
        </w:rPr>
        <w:t>，对人体健康有一定风险。</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 xml:space="preserve"> </w:t>
      </w:r>
      <w:r>
        <w:rPr>
          <w:rFonts w:hint="eastAsia" w:ascii="楷体_GB2312" w:hAnsi="楷体" w:eastAsia="楷体_GB2312" w:cs="仿宋_GB2312"/>
          <w:b/>
          <w:color w:val="auto"/>
          <w:sz w:val="32"/>
          <w:szCs w:val="32"/>
          <w:lang w:eastAsia="zh-CN"/>
        </w:rPr>
        <w:t>（三）</w:t>
      </w:r>
      <w:r>
        <w:rPr>
          <w:rFonts w:hint="eastAsia" w:ascii="楷体_GB2312" w:hAnsi="楷体" w:eastAsia="楷体_GB2312" w:cs="仿宋_GB2312"/>
          <w:b/>
          <w:color w:val="auto"/>
          <w:sz w:val="32"/>
          <w:szCs w:val="32"/>
        </w:rPr>
        <w:t>标签</w:t>
      </w:r>
      <w:bookmarkStart w:id="1" w:name="_GoBack"/>
      <w:bookmarkEnd w:id="1"/>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ascii="仿宋_GB2312" w:hAnsi="仿宋" w:eastAsia="仿宋_GB2312"/>
          <w:color w:val="auto"/>
          <w:sz w:val="32"/>
          <w:szCs w:val="32"/>
        </w:rPr>
        <w:t>食品标签是指</w:t>
      </w:r>
      <w:r>
        <w:rPr>
          <w:rFonts w:hint="eastAsia" w:ascii="仿宋_GB2312" w:hAnsi="仿宋" w:eastAsia="仿宋_GB2312"/>
          <w:color w:val="auto"/>
          <w:sz w:val="32"/>
          <w:szCs w:val="32"/>
        </w:rPr>
        <w:t>食品包装</w:t>
      </w:r>
      <w:r>
        <w:rPr>
          <w:rFonts w:ascii="仿宋_GB2312" w:hAnsi="仿宋" w:eastAsia="仿宋_GB2312"/>
          <w:color w:val="auto"/>
          <w:sz w:val="32"/>
          <w:szCs w:val="32"/>
        </w:rPr>
        <w:t>上的文字</w:t>
      </w:r>
      <w:r>
        <w:rPr>
          <w:rFonts w:hint="eastAsia" w:ascii="仿宋_GB2312" w:hAnsi="仿宋" w:eastAsia="仿宋_GB2312"/>
          <w:color w:val="auto"/>
          <w:sz w:val="32"/>
          <w:szCs w:val="32"/>
        </w:rPr>
        <w:t>、</w:t>
      </w:r>
      <w:r>
        <w:rPr>
          <w:rFonts w:ascii="仿宋_GB2312" w:hAnsi="仿宋" w:eastAsia="仿宋_GB2312"/>
          <w:color w:val="auto"/>
          <w:sz w:val="32"/>
          <w:szCs w:val="32"/>
        </w:rPr>
        <w:t>图形</w:t>
      </w:r>
      <w:r>
        <w:rPr>
          <w:rFonts w:hint="eastAsia" w:ascii="仿宋_GB2312" w:hAnsi="仿宋" w:eastAsia="仿宋_GB2312"/>
          <w:color w:val="auto"/>
          <w:sz w:val="32"/>
          <w:szCs w:val="32"/>
        </w:rPr>
        <w:t>、</w:t>
      </w:r>
      <w:r>
        <w:rPr>
          <w:rFonts w:ascii="仿宋_GB2312" w:hAnsi="仿宋" w:eastAsia="仿宋_GB2312"/>
          <w:color w:val="auto"/>
          <w:sz w:val="32"/>
          <w:szCs w:val="32"/>
        </w:rPr>
        <w:t>符号及一切说明物</w:t>
      </w:r>
      <w:r>
        <w:rPr>
          <w:rFonts w:hint="eastAsia" w:ascii="仿宋_GB2312" w:hAnsi="仿宋" w:eastAsia="仿宋_GB2312"/>
          <w:color w:val="auto"/>
          <w:sz w:val="32"/>
          <w:szCs w:val="32"/>
        </w:rPr>
        <w:t>。食品标签是向消费者传递产品信息的载体。做好预包装食品标签管理，既是依法维护消费者权益，</w:t>
      </w:r>
      <w:r>
        <w:rPr>
          <w:rFonts w:hint="eastAsia" w:ascii="仿宋_GB2312" w:hAnsi="仿宋" w:eastAsia="仿宋_GB2312"/>
          <w:sz w:val="32"/>
          <w:szCs w:val="32"/>
        </w:rPr>
        <w:t>保障行业健康发展的有效手段，也是实现食品安全科学管理的需求。</w:t>
      </w:r>
      <w:r>
        <w:rPr>
          <w:rFonts w:ascii="仿宋_GB2312" w:hAnsi="仿宋" w:eastAsia="仿宋_GB2312"/>
          <w:sz w:val="32"/>
          <w:szCs w:val="32"/>
        </w:rPr>
        <w:t>食品标签的所有内容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hint="eastAsia" w:ascii="仿宋_GB2312" w:hAnsi="仿宋" w:eastAsia="仿宋_GB2312"/>
          <w:sz w:val="32"/>
          <w:szCs w:val="32"/>
        </w:rPr>
        <w:t>本次抽检</w:t>
      </w:r>
      <w:r>
        <w:rPr>
          <w:rFonts w:ascii="仿宋_GB2312" w:hAnsi="仿宋" w:eastAsia="仿宋_GB2312"/>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四</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pStyle w:val="5"/>
        <w:shd w:val="clear" w:color="auto" w:fill="FFFFFF"/>
        <w:spacing w:before="0" w:beforeAutospacing="0" w:after="0" w:afterAutospacing="0" w:line="560" w:lineRule="exact"/>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大肠菌群是国内外通用的食品污染常用指示菌之一。</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消毒餐（饮）具（每50cm</w:t>
      </w:r>
      <w:r>
        <w:rPr>
          <w:rFonts w:hint="eastAsia" w:ascii="仿宋_GB2312" w:hAnsi="仿宋" w:eastAsia="仿宋_GB2312"/>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sz w:val="32"/>
          <w:szCs w:val="32"/>
        </w:rPr>
        <w:t>餐饮具中检出大肠菌群提示餐饮具可能因清洗消毒不当或交叉污染导致食具受到肠道致病菌污染，如就餐者使用了大肠菌群不合格的餐饮具，可能会出现呕吐、腹泻等消化道疾病。</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五</w:t>
      </w:r>
      <w:r>
        <w:rPr>
          <w:rFonts w:hint="eastAsia" w:ascii="楷体_GB2312" w:hAnsi="楷体" w:eastAsia="楷体_GB2312" w:cs="仿宋_GB2312"/>
          <w:b/>
          <w:sz w:val="32"/>
          <w:szCs w:val="32"/>
        </w:rPr>
        <w:t>）脱氢乙酸及其钠盐</w:t>
      </w:r>
    </w:p>
    <w:p>
      <w:pPr>
        <w:pStyle w:val="2"/>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eastAsia="zh-CN"/>
        </w:rPr>
        <w:t>水果制品、非发酵性豆制品</w:t>
      </w:r>
      <w:r>
        <w:rPr>
          <w:rFonts w:hint="eastAsia" w:ascii="仿宋_GB2312" w:hAnsi="仿宋" w:eastAsia="仿宋_GB2312"/>
          <w:color w:val="auto"/>
          <w:sz w:val="32"/>
          <w:szCs w:val="32"/>
        </w:rPr>
        <w:t>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w:t>
      </w:r>
      <w:r>
        <w:rPr>
          <w:rFonts w:hint="eastAsia" w:ascii="仿宋_GB2312" w:hAnsi="仿宋" w:eastAsia="仿宋_GB2312" w:cs="宋体"/>
          <w:kern w:val="0"/>
          <w:sz w:val="32"/>
          <w:szCs w:val="32"/>
          <w:lang w:val="zh-CN"/>
        </w:rPr>
        <w:t>过量食用脱氢乙酸含量超标的食品可能会引起肝、肾和中枢神经系统的损伤。</w:t>
      </w:r>
    </w:p>
    <w:p>
      <w:pPr>
        <w:spacing w:line="560" w:lineRule="exact"/>
        <w:ind w:firstLine="745" w:firstLineChars="232"/>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（六）</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sz w:val="32"/>
          <w:szCs w:val="32"/>
          <w:lang w:eastAsia="zh-CN"/>
        </w:rPr>
        <w:t>豆类制品</w:t>
      </w:r>
      <w:r>
        <w:rPr>
          <w:rFonts w:hint="eastAsia" w:ascii="仿宋_GB2312" w:hAnsi="仿宋" w:eastAsia="仿宋_GB2312"/>
          <w:sz w:val="32"/>
          <w:szCs w:val="32"/>
        </w:rPr>
        <w:t>中的铝的残留量(干样品，以Al计)应≤</w:t>
      </w:r>
      <w:r>
        <w:rPr>
          <w:rFonts w:hint="eastAsia" w:ascii="仿宋_GB2312" w:hAnsi="仿宋"/>
          <w:sz w:val="32"/>
          <w:szCs w:val="32"/>
          <w:lang w:val="en-US" w:eastAsia="zh-CN"/>
        </w:rPr>
        <w:t>1</w:t>
      </w:r>
      <w:r>
        <w:rPr>
          <w:rFonts w:hint="eastAsia" w:ascii="仿宋_GB2312" w:hAnsi="仿宋" w:eastAsia="仿宋_GB2312"/>
          <w:sz w:val="32"/>
          <w:szCs w:val="32"/>
        </w:rPr>
        <w:t>00mg/kg。</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七</w:t>
      </w:r>
      <w:r>
        <w:rPr>
          <w:rFonts w:hint="eastAsia" w:ascii="楷体_GB2312" w:hAnsi="楷体" w:eastAsia="楷体_GB2312" w:cs="仿宋_GB2312"/>
          <w:b/>
          <w:color w:val="000000" w:themeColor="text1"/>
          <w:sz w:val="32"/>
          <w:szCs w:val="32"/>
          <w14:textFill>
            <w14:solidFill>
              <w14:schemeClr w14:val="tx1"/>
            </w14:solidFill>
          </w14:textFill>
        </w:rPr>
        <w:t>）酸价</w:t>
      </w:r>
    </w:p>
    <w:p>
      <w:pPr>
        <w:pStyle w:val="5"/>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w:t>
      </w:r>
      <w:r>
        <w:rPr>
          <w:rFonts w:hint="eastAsia" w:ascii="仿宋_GB2312" w:hAnsi="仿宋"/>
          <w:sz w:val="32"/>
          <w:szCs w:val="32"/>
          <w:lang w:eastAsia="zh-CN"/>
        </w:rPr>
        <w:t>。</w:t>
      </w:r>
      <w:r>
        <w:rPr>
          <w:rFonts w:hint="eastAsia" w:ascii="仿宋_GB2312" w:hAnsi="仿宋" w:eastAsia="仿宋_GB2312"/>
          <w:sz w:val="32"/>
          <w:szCs w:val="32"/>
        </w:rPr>
        <w:t>《食品安全国家标准 坚果与籽类食品》GB 19300-2014中规定，熟制坚果与籽类食品的酸价(以脂肪计)应≤3mg/g。酸价过高会导致食品有哈喇味，所产生的醛、酮、酸会破坏脂溶性维生素，会导致肠胃不适症状，特别是对抵抗能力较弱的老人、孕妇、小孩危害更明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（八）五氯酚酸钠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3" w:firstLineChars="200"/>
        <w:rPr>
          <w:rFonts w:ascii="楷体_GB2312" w:hAnsi="楷体" w:eastAsia="楷体_GB2312" w:cs="宋体"/>
          <w:b/>
          <w:kern w:val="0"/>
          <w:sz w:val="32"/>
          <w:szCs w:val="32"/>
        </w:rPr>
      </w:pP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九</w:t>
      </w:r>
      <w:r>
        <w:rPr>
          <w:rFonts w:hint="eastAsia" w:ascii="楷体_GB2312" w:hAnsi="楷体" w:eastAsia="楷体_GB2312" w:cs="宋体"/>
          <w:b/>
          <w:kern w:val="0"/>
          <w:sz w:val="32"/>
          <w:szCs w:val="32"/>
        </w:rPr>
        <w:t>）阴离子合成洗涤剂</w:t>
      </w:r>
      <w:r>
        <w:rPr>
          <w:rFonts w:ascii="楷体_GB2312" w:hAnsi="楷体" w:eastAsia="楷体_GB2312" w:cs="宋体"/>
          <w:b/>
          <w:kern w:val="0"/>
          <w:sz w:val="32"/>
          <w:szCs w:val="32"/>
        </w:rPr>
        <w:t> </w:t>
      </w:r>
    </w:p>
    <w:p>
      <w:pPr>
        <w:pStyle w:val="5"/>
        <w:shd w:val="clear" w:color="auto" w:fill="FFFFFF"/>
        <w:spacing w:before="0" w:beforeAutospacing="0" w:after="0" w:afterAutospacing="0" w:line="560" w:lineRule="exact"/>
        <w:ind w:left="0" w:leftChars="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_GB2312" w:eastAsia="仿宋_GB2312" w:cs="仿宋_GB2312"/>
          <w:color w:val="auto"/>
          <w:sz w:val="32"/>
          <w:szCs w:val="32"/>
          <w:lang w:val="zh-CN"/>
        </w:rPr>
        <w:t>食品安全国家标准 消毒餐（饮）具》（GB 14934—2016）中规定，消毒餐（饮）具中不得检出</w:t>
      </w:r>
      <w:r>
        <w:rPr>
          <w:rFonts w:hint="eastAsia" w:ascii="仿宋_GB2312" w:hAnsi="仿宋_GB2312" w:eastAsia="仿宋_GB2312" w:cs="仿宋_GB2312"/>
          <w:color w:val="auto"/>
          <w:kern w:val="2"/>
          <w:sz w:val="32"/>
          <w:szCs w:val="32"/>
        </w:rPr>
        <w:t>阴离子合成洗涤剂(以十二烷基苯磺酸钠计)</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Cs/>
          <w:color w:val="auto"/>
          <w:sz w:val="32"/>
          <w:szCs w:val="32"/>
        </w:rPr>
        <w:t>部分餐饮从业人员卫生意识不强，用洗涤剂浸泡餐（饮）具后，未用清水冲刷或者冲刷时间较短易导致洗涤剂残留。长期使用十二烷基苯磺酸钠超标的餐（饮）具，可能容易引起呼吸系统过敏性反应。</w:t>
      </w:r>
    </w:p>
    <w:p>
      <w:pPr>
        <w:spacing w:line="560" w:lineRule="exact"/>
        <w:ind w:firstLine="643" w:firstLineChars="200"/>
        <w:rPr>
          <w:rFonts w:hint="eastAsia" w:ascii="楷体_GB2312" w:hAnsi="楷体" w:eastAsia="楷体_GB2312" w:cs="宋体"/>
          <w:b/>
          <w:kern w:val="0"/>
          <w:sz w:val="32"/>
          <w:szCs w:val="32"/>
          <w:lang w:eastAsia="zh-CN"/>
        </w:rPr>
      </w:pPr>
      <w:r>
        <w:rPr>
          <w:rFonts w:hint="eastAsia" w:ascii="楷体_GB2312" w:hAnsi="楷体" w:eastAsia="楷体_GB2312" w:cs="宋体"/>
          <w:b/>
          <w:kern w:val="0"/>
          <w:sz w:val="32"/>
          <w:szCs w:val="32"/>
          <w:lang w:eastAsia="zh-CN"/>
        </w:rPr>
        <w:t>（十）桔青霉素</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桔青霉素（橘霉素）是一种由曲霉属和青霉属真菌产生</w:t>
      </w:r>
      <w:r>
        <w:rPr>
          <w:rFonts w:hint="eastAsia" w:ascii="仿宋_GB2312" w:hAnsi="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毒性较强的真菌毒素，多存在于主要存在于小麦、大麦、燕麦、大米和玉米等谷物中</w:t>
      </w:r>
      <w:r>
        <w:rPr>
          <w:rFonts w:hint="eastAsia" w:ascii="仿宋_GB2312" w:hAnsi="仿宋_GB2312" w:cs="仿宋_GB2312"/>
          <w:color w:val="auto"/>
          <w:kern w:val="2"/>
          <w:sz w:val="32"/>
          <w:szCs w:val="32"/>
          <w:lang w:eastAsia="zh-CN"/>
        </w:rPr>
        <w:t>。企业标准《学者牌红曲大豆异黄酮片》（</w:t>
      </w:r>
      <w:r>
        <w:rPr>
          <w:rFonts w:hint="eastAsia" w:ascii="仿宋_GB2312" w:hAnsi="仿宋_GB2312" w:cs="仿宋_GB2312"/>
          <w:color w:val="auto"/>
          <w:kern w:val="2"/>
          <w:sz w:val="32"/>
          <w:szCs w:val="32"/>
          <w:lang w:val="en-US" w:eastAsia="zh-CN"/>
        </w:rPr>
        <w:t>Q/XZSW 0002S-2020</w:t>
      </w:r>
      <w:r>
        <w:rPr>
          <w:rFonts w:hint="eastAsia" w:ascii="仿宋_GB2312" w:hAnsi="仿宋_GB2312" w:cs="仿宋_GB2312"/>
          <w:color w:val="auto"/>
          <w:kern w:val="2"/>
          <w:sz w:val="32"/>
          <w:szCs w:val="32"/>
          <w:lang w:eastAsia="zh-CN"/>
        </w:rPr>
        <w:t>）中规定，产品中的桔青霉素应≤50μg/kg。</w:t>
      </w:r>
      <w:r>
        <w:rPr>
          <w:rFonts w:hint="eastAsia" w:ascii="仿宋_GB2312" w:hAnsi="仿宋_GB2312" w:eastAsia="仿宋_GB2312" w:cs="仿宋_GB2312"/>
          <w:color w:val="auto"/>
          <w:kern w:val="2"/>
          <w:sz w:val="32"/>
          <w:szCs w:val="32"/>
          <w:lang w:val="zh-CN"/>
        </w:rPr>
        <w:t>长期食用</w:t>
      </w:r>
      <w:r>
        <w:rPr>
          <w:rFonts w:hint="eastAsia" w:ascii="仿宋_GB2312" w:hAnsi="仿宋_GB2312" w:eastAsia="仿宋_GB2312" w:cs="仿宋_GB2312"/>
          <w:color w:val="auto"/>
          <w:kern w:val="2"/>
          <w:sz w:val="32"/>
          <w:szCs w:val="32"/>
          <w:lang w:eastAsia="zh-CN"/>
        </w:rPr>
        <w:t>桔青霉素</w:t>
      </w:r>
      <w:r>
        <w:rPr>
          <w:rFonts w:hint="eastAsia" w:ascii="仿宋_GB2312" w:hAnsi="仿宋_GB2312" w:eastAsia="仿宋_GB2312" w:cs="仿宋_GB2312"/>
          <w:color w:val="auto"/>
          <w:kern w:val="2"/>
          <w:sz w:val="32"/>
          <w:szCs w:val="32"/>
          <w:lang w:val="zh-CN"/>
        </w:rPr>
        <w:t>超标的</w:t>
      </w:r>
      <w:r>
        <w:rPr>
          <w:rFonts w:hint="eastAsia" w:ascii="仿宋_GB2312" w:hAnsi="仿宋_GB2312" w:cs="仿宋_GB2312"/>
          <w:color w:val="auto"/>
          <w:kern w:val="2"/>
          <w:sz w:val="32"/>
          <w:szCs w:val="32"/>
          <w:lang w:eastAsia="zh-CN"/>
        </w:rPr>
        <w:t>食品可能</w:t>
      </w:r>
      <w:r>
        <w:rPr>
          <w:rFonts w:hint="eastAsia" w:ascii="仿宋_GB2312" w:hAnsi="仿宋_GB2312" w:eastAsia="仿宋_GB2312" w:cs="仿宋_GB2312"/>
          <w:color w:val="auto"/>
          <w:kern w:val="2"/>
          <w:sz w:val="32"/>
          <w:szCs w:val="32"/>
        </w:rPr>
        <w:t>对肾脏</w:t>
      </w:r>
      <w:r>
        <w:rPr>
          <w:rFonts w:hint="eastAsia" w:ascii="仿宋_GB2312" w:hAnsi="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肝脏有</w:t>
      </w:r>
      <w:r>
        <w:rPr>
          <w:rFonts w:hint="eastAsia" w:ascii="仿宋_GB2312" w:hAnsi="仿宋_GB2312" w:cs="仿宋_GB2312"/>
          <w:color w:val="auto"/>
          <w:kern w:val="2"/>
          <w:sz w:val="32"/>
          <w:szCs w:val="32"/>
          <w:lang w:eastAsia="zh-CN"/>
        </w:rPr>
        <w:t>一定</w:t>
      </w:r>
      <w:r>
        <w:rPr>
          <w:rFonts w:hint="eastAsia" w:ascii="仿宋_GB2312" w:hAnsi="仿宋_GB2312" w:eastAsia="仿宋_GB2312" w:cs="仿宋_GB2312"/>
          <w:color w:val="auto"/>
          <w:kern w:val="2"/>
          <w:sz w:val="32"/>
          <w:szCs w:val="32"/>
        </w:rPr>
        <w:t>影响。</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5"/>
        <w:shd w:val="clear" w:color="auto" w:fill="FFFFFF"/>
        <w:spacing w:before="0" w:beforeAutospacing="0" w:after="0" w:afterAutospacing="0" w:line="560" w:lineRule="exact"/>
        <w:ind w:firstLine="707" w:firstLineChars="220"/>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（四）保证食品运输、贮存环境</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（五）加强食品从业人员培训</w:t>
      </w:r>
    </w:p>
    <w:p>
      <w:pPr>
        <w:pStyle w:val="5"/>
        <w:shd w:val="clear" w:color="auto" w:fill="FFFFFF"/>
        <w:spacing w:before="0" w:beforeAutospacing="0" w:after="0" w:afterAutospacing="0" w:line="560" w:lineRule="exact"/>
        <w:ind w:firstLine="720"/>
        <w:jc w:val="both"/>
        <w:rPr>
          <w:rFonts w:ascii="仿宋_GB2312" w:hAnsi="仿宋" w:eastAsia="仿宋_GB2312"/>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p>
      <w:pPr>
        <w:pStyle w:val="2"/>
        <w:rPr>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57D4C"/>
    <w:rsid w:val="006D08D0"/>
    <w:rsid w:val="007C2802"/>
    <w:rsid w:val="038A4A30"/>
    <w:rsid w:val="03F5028E"/>
    <w:rsid w:val="05FA02D1"/>
    <w:rsid w:val="06417F99"/>
    <w:rsid w:val="0995308D"/>
    <w:rsid w:val="0C0C26ED"/>
    <w:rsid w:val="0C1638F7"/>
    <w:rsid w:val="0DAA1605"/>
    <w:rsid w:val="0EBB2607"/>
    <w:rsid w:val="0F585F8A"/>
    <w:rsid w:val="10821C61"/>
    <w:rsid w:val="14BB2594"/>
    <w:rsid w:val="167A6756"/>
    <w:rsid w:val="17C241C8"/>
    <w:rsid w:val="192B4E69"/>
    <w:rsid w:val="192F6BA6"/>
    <w:rsid w:val="1B4E2422"/>
    <w:rsid w:val="1F4E48D8"/>
    <w:rsid w:val="21696DF5"/>
    <w:rsid w:val="285A69D5"/>
    <w:rsid w:val="2C132547"/>
    <w:rsid w:val="2CD93125"/>
    <w:rsid w:val="2CDF0489"/>
    <w:rsid w:val="2DDE794C"/>
    <w:rsid w:val="2F324ED1"/>
    <w:rsid w:val="3145128F"/>
    <w:rsid w:val="317558F5"/>
    <w:rsid w:val="34A04BE9"/>
    <w:rsid w:val="34DC6E90"/>
    <w:rsid w:val="357551BE"/>
    <w:rsid w:val="35803564"/>
    <w:rsid w:val="36400D2C"/>
    <w:rsid w:val="36884D8D"/>
    <w:rsid w:val="3AC15303"/>
    <w:rsid w:val="3C0D09B2"/>
    <w:rsid w:val="3CD868A6"/>
    <w:rsid w:val="404434D1"/>
    <w:rsid w:val="41732919"/>
    <w:rsid w:val="43684698"/>
    <w:rsid w:val="43B35148"/>
    <w:rsid w:val="45393952"/>
    <w:rsid w:val="4883734F"/>
    <w:rsid w:val="49360CB0"/>
    <w:rsid w:val="4D957D4C"/>
    <w:rsid w:val="4E426780"/>
    <w:rsid w:val="51536C92"/>
    <w:rsid w:val="522E010C"/>
    <w:rsid w:val="54FE208A"/>
    <w:rsid w:val="56373C1E"/>
    <w:rsid w:val="594B0C13"/>
    <w:rsid w:val="5CCC483D"/>
    <w:rsid w:val="5FC32C70"/>
    <w:rsid w:val="62CD52C3"/>
    <w:rsid w:val="6A8D728C"/>
    <w:rsid w:val="6D34019A"/>
    <w:rsid w:val="6F140810"/>
    <w:rsid w:val="72015139"/>
    <w:rsid w:val="72121F97"/>
    <w:rsid w:val="72DA625E"/>
    <w:rsid w:val="7525532E"/>
    <w:rsid w:val="75E23C4E"/>
    <w:rsid w:val="77661A93"/>
    <w:rsid w:val="7929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Hyperlink"/>
    <w:basedOn w:val="7"/>
    <w:unhideWhenUsed/>
    <w:qFormat/>
    <w:uiPriority w:val="99"/>
    <w:rPr>
      <w:color w:val="0000FF"/>
      <w:u w:val="single"/>
    </w:rPr>
  </w:style>
  <w:style w:type="paragraph" w:customStyle="1" w:styleId="10">
    <w:name w:val="列出段落2"/>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华测检测认证集团股份有限公司</Company>
  <Pages>8</Pages>
  <Words>558</Words>
  <Characters>3184</Characters>
  <Lines>26</Lines>
  <Paragraphs>7</Paragraphs>
  <TotalTime>9</TotalTime>
  <ScaleCrop>false</ScaleCrop>
  <LinksUpToDate>false</LinksUpToDate>
  <CharactersWithSpaces>3735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2020-11-04T13:13:00Z</dcterms:created>
  <dc:creator>zhenyongwen</dc:creator>
  <cp:lastModifiedBy>韦慧勤</cp:lastModifiedBy>
  <dcterms:modified xsi:type="dcterms:W3CDTF">2020-12-07T02:12:57Z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