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400" w:lineRule="atLeast"/>
        <w:jc w:val="both"/>
        <w:rPr>
          <w:rFonts w:hint="eastAsia" w:ascii="宋体" w:hAnsi="宋体" w:cs="仿宋_GB2312"/>
        </w:rPr>
      </w:pPr>
      <w:r>
        <w:rPr>
          <w:rFonts w:hint="eastAsia" w:ascii="宋体" w:hAnsi="宋体"/>
          <w:kern w:val="24"/>
        </w:rPr>
        <w:t>附件2</w:t>
      </w:r>
    </w:p>
    <w:p>
      <w:pPr>
        <w:spacing w:line="0" w:lineRule="atLeast"/>
        <w:jc w:val="center"/>
        <w:rPr>
          <w:rFonts w:hint="eastAsia" w:ascii="宋体" w:hAnsi="宋体"/>
          <w:sz w:val="36"/>
          <w:szCs w:val="36"/>
        </w:rPr>
      </w:pPr>
      <w:r>
        <w:rPr>
          <w:rFonts w:hint="eastAsia" w:ascii="宋体" w:hAnsi="宋体"/>
          <w:sz w:val="36"/>
          <w:szCs w:val="36"/>
        </w:rPr>
        <w:t>深圳市普通高中音乐学业水平</w:t>
      </w:r>
    </w:p>
    <w:p>
      <w:pPr>
        <w:spacing w:line="0" w:lineRule="atLeast"/>
        <w:jc w:val="center"/>
        <w:rPr>
          <w:rFonts w:hint="eastAsia" w:ascii="宋体" w:hAnsi="宋体"/>
          <w:sz w:val="36"/>
          <w:szCs w:val="36"/>
        </w:rPr>
      </w:pPr>
      <w:r>
        <w:rPr>
          <w:rFonts w:hint="eastAsia" w:ascii="宋体" w:hAnsi="宋体"/>
          <w:sz w:val="36"/>
          <w:szCs w:val="36"/>
        </w:rPr>
        <w:t>考试实施方案</w:t>
      </w:r>
    </w:p>
    <w:p>
      <w:pPr>
        <w:spacing w:before="120" w:beforeLines="50" w:line="400" w:lineRule="atLeast"/>
        <w:ind w:firstLine="480" w:firstLineChars="200"/>
        <w:rPr>
          <w:rFonts w:ascii="宋体" w:hAnsi="宋体" w:cs="仿宋_GB2312"/>
          <w:sz w:val="24"/>
          <w:szCs w:val="24"/>
        </w:rPr>
      </w:pPr>
      <w:r>
        <w:rPr>
          <w:rFonts w:hint="eastAsia" w:ascii="宋体" w:hAnsi="宋体" w:cs="仿宋_GB2312"/>
          <w:sz w:val="24"/>
          <w:szCs w:val="24"/>
        </w:rPr>
        <w:t>为贯彻落实《广东省教育厅关于印发广东省普通高中学业水平考试实施办法的通知》（粤教考〔2019〕18号）和《广东省教育厅关于普通高中体育与健康等科目学业水平考试工作的指导意见》（粤教考〔2019〕19号）精神，依据《普通高中音乐课程标准（2017年版2020年修订）》，结合我市实际，制定本实施方案。</w:t>
      </w:r>
    </w:p>
    <w:p>
      <w:pPr>
        <w:widowControl/>
        <w:shd w:val="clear" w:color="auto" w:fill="FFFFFF"/>
        <w:spacing w:line="400" w:lineRule="atLeast"/>
        <w:ind w:firstLine="480" w:firstLineChars="200"/>
        <w:rPr>
          <w:rFonts w:hint="eastAsia" w:ascii="黑体" w:hAnsi="宋体" w:eastAsia="黑体"/>
          <w:kern w:val="0"/>
          <w:sz w:val="24"/>
          <w:szCs w:val="24"/>
        </w:rPr>
      </w:pPr>
      <w:r>
        <w:rPr>
          <w:rFonts w:hint="eastAsia" w:ascii="黑体" w:hAnsi="宋体" w:eastAsia="黑体"/>
          <w:kern w:val="0"/>
          <w:sz w:val="24"/>
          <w:szCs w:val="24"/>
        </w:rPr>
        <w:t>一、指导思想</w:t>
      </w:r>
    </w:p>
    <w:p>
      <w:pPr>
        <w:spacing w:line="400" w:lineRule="atLeast"/>
        <w:ind w:firstLine="480" w:firstLineChars="200"/>
        <w:rPr>
          <w:rFonts w:hint="eastAsia" w:ascii="宋体" w:hAnsi="宋体" w:cs="仿宋_GB2312"/>
          <w:sz w:val="24"/>
          <w:szCs w:val="24"/>
        </w:rPr>
      </w:pPr>
      <w:r>
        <w:rPr>
          <w:rFonts w:hint="eastAsia" w:ascii="宋体" w:hAnsi="宋体" w:cs="仿宋_GB2312"/>
          <w:sz w:val="24"/>
          <w:szCs w:val="24"/>
        </w:rPr>
        <w:t>全面贯彻党的教育方针</w:t>
      </w:r>
      <w:r>
        <w:rPr>
          <w:rFonts w:hint="eastAsia" w:ascii="宋体" w:hAnsi="宋体"/>
          <w:sz w:val="24"/>
          <w:szCs w:val="24"/>
        </w:rPr>
        <w:t>和《中共中央国务院关于支持深圳建设中国特色社会主义先行示范区的意见》精神</w:t>
      </w:r>
      <w:r>
        <w:rPr>
          <w:rFonts w:hint="eastAsia" w:ascii="宋体" w:hAnsi="宋体" w:cs="仿宋_GB2312"/>
          <w:sz w:val="24"/>
          <w:szCs w:val="24"/>
        </w:rPr>
        <w:t>，以立德树人为根本任务，以改进学校美育工作，提高学生审美和人文素养为主要目标，逐步形成科学有效的美育评价、监测、督导和问责机制，促进学校开齐开足上好音乐课程，通过建立课堂教学、课外活动、校园文化三位一体的学校美育机制，指导帮助学生形成1－2项音乐特长，不断提升学生感受美、表现美、鉴赏美、创造美的能力。</w:t>
      </w:r>
    </w:p>
    <w:p>
      <w:pPr>
        <w:widowControl/>
        <w:shd w:val="clear" w:color="auto" w:fill="FFFFFF"/>
        <w:spacing w:line="400" w:lineRule="atLeast"/>
        <w:ind w:firstLine="480" w:firstLineChars="200"/>
        <w:rPr>
          <w:rFonts w:hint="eastAsia" w:ascii="黑体" w:hAnsi="宋体" w:eastAsia="黑体"/>
          <w:kern w:val="0"/>
          <w:sz w:val="24"/>
          <w:szCs w:val="24"/>
        </w:rPr>
      </w:pPr>
      <w:r>
        <w:rPr>
          <w:rFonts w:hint="eastAsia" w:ascii="黑体" w:hAnsi="宋体" w:eastAsia="黑体"/>
          <w:kern w:val="0"/>
          <w:sz w:val="24"/>
          <w:szCs w:val="24"/>
        </w:rPr>
        <w:t>二、基本原则</w:t>
      </w:r>
    </w:p>
    <w:p>
      <w:pPr>
        <w:widowControl/>
        <w:spacing w:line="400" w:lineRule="atLeast"/>
        <w:ind w:firstLine="480" w:firstLineChars="200"/>
        <w:rPr>
          <w:rFonts w:hint="eastAsia" w:ascii="宋体" w:hAnsi="宋体" w:cs="仿宋_GB2312"/>
          <w:sz w:val="24"/>
          <w:szCs w:val="24"/>
        </w:rPr>
      </w:pPr>
      <w:r>
        <w:rPr>
          <w:rFonts w:hint="eastAsia" w:ascii="宋体" w:hAnsi="宋体" w:cs="楷体_GB2312"/>
          <w:bCs/>
          <w:kern w:val="0"/>
          <w:sz w:val="24"/>
          <w:szCs w:val="24"/>
        </w:rPr>
        <w:t>（一）导向性原则。</w:t>
      </w:r>
      <w:r>
        <w:rPr>
          <w:rFonts w:hint="eastAsia" w:ascii="宋体" w:hAnsi="宋体" w:cs="仿宋_GB2312"/>
          <w:sz w:val="24"/>
          <w:szCs w:val="24"/>
        </w:rPr>
        <w:t>普通高中音乐学业水平考试为合格性考试。目的是促进学生在音乐课程日常学习中形成审美意识、审美经验，不断提高学生的音乐素养。同时，引导学校加强和改进美育教学工作，深入推进学校美育改革发展。</w:t>
      </w:r>
    </w:p>
    <w:p>
      <w:pPr>
        <w:spacing w:line="396" w:lineRule="atLeast"/>
        <w:ind w:firstLine="480" w:firstLineChars="200"/>
        <w:rPr>
          <w:rFonts w:hint="eastAsia"/>
          <w:sz w:val="24"/>
          <w:szCs w:val="24"/>
        </w:rPr>
      </w:pPr>
      <w:r>
        <w:rPr>
          <w:rFonts w:hint="eastAsia" w:cs="楷体_GB2312"/>
          <w:bCs/>
          <w:kern w:val="0"/>
          <w:sz w:val="24"/>
          <w:szCs w:val="24"/>
        </w:rPr>
        <w:t>（二）科学性原则。</w:t>
      </w:r>
      <w:r>
        <w:rPr>
          <w:rFonts w:hint="eastAsia"/>
          <w:sz w:val="24"/>
          <w:szCs w:val="24"/>
        </w:rPr>
        <w:t>考试指标的确定，应以音乐科目的特点和不同教学模块的内容标准为依据，体现普通高中音乐课程的性质，符合高中学生身心发展的特点和音乐教育规律。坚持过程性原则，把考试融进教学的全过程，形成科学有效的考试评价制度。</w:t>
      </w:r>
    </w:p>
    <w:p>
      <w:pPr>
        <w:spacing w:line="396" w:lineRule="atLeast"/>
        <w:ind w:firstLine="480" w:firstLineChars="200"/>
        <w:rPr>
          <w:rFonts w:hint="eastAsia"/>
          <w:sz w:val="24"/>
          <w:szCs w:val="24"/>
        </w:rPr>
      </w:pPr>
      <w:r>
        <w:rPr>
          <w:rFonts w:hint="eastAsia" w:cs="楷体_GB2312"/>
          <w:bCs/>
          <w:kern w:val="0"/>
          <w:sz w:val="24"/>
          <w:szCs w:val="24"/>
        </w:rPr>
        <w:t>（三）自主选择原则。</w:t>
      </w:r>
      <w:r>
        <w:rPr>
          <w:rFonts w:hint="eastAsia"/>
          <w:sz w:val="24"/>
          <w:szCs w:val="24"/>
        </w:rPr>
        <w:t>为学生提供更多自主选择考试项目的机会，促进学生发展学科兴趣与个性特长，促进学生个性化、多样化发展，为学生健康、全面发展创造有利条件。</w:t>
      </w:r>
    </w:p>
    <w:p>
      <w:pPr>
        <w:spacing w:line="396" w:lineRule="atLeast"/>
        <w:ind w:firstLine="480" w:firstLineChars="200"/>
        <w:rPr>
          <w:rFonts w:hint="eastAsia" w:ascii="宋体" w:hAnsi="宋体" w:cs="仿宋_GB2312"/>
          <w:sz w:val="24"/>
          <w:szCs w:val="24"/>
        </w:rPr>
      </w:pPr>
      <w:r>
        <w:rPr>
          <w:rFonts w:hint="eastAsia" w:ascii="宋体" w:hAnsi="宋体" w:cs="楷体_GB2312"/>
          <w:bCs/>
          <w:kern w:val="0"/>
          <w:sz w:val="24"/>
          <w:szCs w:val="24"/>
        </w:rPr>
        <w:t>（四）公平公正原则。</w:t>
      </w:r>
      <w:r>
        <w:rPr>
          <w:rFonts w:hint="eastAsia" w:ascii="宋体" w:hAnsi="宋体" w:cs="仿宋_GB2312"/>
          <w:sz w:val="24"/>
          <w:szCs w:val="24"/>
        </w:rPr>
        <w:t>把促进公平公正作为合格考试的基本要求，明确标准，规范程序，加强监督，切实保障考试程序公开、结果公正。</w:t>
      </w:r>
    </w:p>
    <w:p>
      <w:pPr>
        <w:widowControl/>
        <w:shd w:val="clear" w:color="auto" w:fill="FFFFFF"/>
        <w:spacing w:line="396" w:lineRule="atLeast"/>
        <w:ind w:firstLine="480" w:firstLineChars="200"/>
        <w:rPr>
          <w:rFonts w:hint="eastAsia" w:ascii="黑体" w:hAnsi="宋体" w:eastAsia="黑体"/>
          <w:kern w:val="0"/>
          <w:sz w:val="24"/>
          <w:szCs w:val="24"/>
        </w:rPr>
      </w:pPr>
      <w:r>
        <w:rPr>
          <w:rFonts w:hint="eastAsia" w:ascii="黑体" w:hAnsi="宋体" w:eastAsia="黑体"/>
          <w:kern w:val="0"/>
          <w:sz w:val="24"/>
          <w:szCs w:val="24"/>
        </w:rPr>
        <w:t>三、考试内容和方式</w:t>
      </w:r>
    </w:p>
    <w:p>
      <w:pPr>
        <w:spacing w:line="396" w:lineRule="atLeast"/>
        <w:ind w:firstLine="480" w:firstLineChars="200"/>
        <w:rPr>
          <w:rFonts w:hint="eastAsia" w:ascii="宋体" w:hAnsi="宋体" w:cs="仿宋_GB2312"/>
          <w:sz w:val="24"/>
          <w:szCs w:val="24"/>
        </w:rPr>
      </w:pPr>
      <w:r>
        <w:rPr>
          <w:rFonts w:hint="eastAsia" w:ascii="宋体" w:hAnsi="宋体" w:cs="楷体_GB2312"/>
          <w:bCs/>
          <w:kern w:val="0"/>
          <w:sz w:val="24"/>
          <w:szCs w:val="24"/>
        </w:rPr>
        <w:t>（一）考试内容。</w:t>
      </w:r>
      <w:r>
        <w:rPr>
          <w:rFonts w:hint="eastAsia" w:ascii="宋体" w:hAnsi="宋体" w:cs="仿宋_GB2312"/>
          <w:sz w:val="24"/>
          <w:szCs w:val="24"/>
        </w:rPr>
        <w:t>考试内容依据《普通高中音乐课程标准（2017年版2020年修订）》必修模块和选择性必修模块中的1－2个模块的要求，并结合深圳实际，规范考试命题工作。</w:t>
      </w:r>
    </w:p>
    <w:p>
      <w:pPr>
        <w:spacing w:line="396" w:lineRule="atLeast"/>
        <w:ind w:firstLine="480" w:firstLineChars="200"/>
        <w:rPr>
          <w:rFonts w:hint="eastAsia" w:ascii="宋体" w:hAnsi="宋体" w:cs="仿宋_GB2312"/>
          <w:sz w:val="24"/>
          <w:szCs w:val="24"/>
        </w:rPr>
      </w:pPr>
      <w:r>
        <w:rPr>
          <w:rFonts w:hint="eastAsia" w:ascii="宋体" w:hAnsi="宋体" w:cs="楷体_GB2312"/>
          <w:bCs/>
          <w:kern w:val="0"/>
          <w:sz w:val="24"/>
          <w:szCs w:val="24"/>
        </w:rPr>
        <w:t>（二）考试方式。</w:t>
      </w:r>
      <w:r>
        <w:rPr>
          <w:rFonts w:hint="eastAsia" w:ascii="宋体" w:hAnsi="宋体" w:cs="仿宋_GB2312"/>
          <w:sz w:val="24"/>
          <w:szCs w:val="24"/>
        </w:rPr>
        <w:t>普通高中音乐学业水平考试采用“过程性评价＋专项测试＋必修课程测试”的方式进行</w:t>
      </w:r>
      <w:r>
        <w:rPr>
          <w:rFonts w:hint="eastAsia" w:ascii="宋体" w:hAnsi="宋体"/>
          <w:kern w:val="0"/>
          <w:sz w:val="24"/>
          <w:szCs w:val="24"/>
        </w:rPr>
        <w:t>。</w:t>
      </w:r>
    </w:p>
    <w:p>
      <w:pPr>
        <w:widowControl/>
        <w:spacing w:line="396" w:lineRule="atLeast"/>
        <w:ind w:firstLine="480" w:firstLineChars="200"/>
        <w:rPr>
          <w:rFonts w:hint="eastAsia" w:ascii="宋体" w:hAnsi="宋体" w:cs="仿宋_GB2312"/>
          <w:sz w:val="24"/>
          <w:szCs w:val="24"/>
        </w:rPr>
      </w:pPr>
      <w:r>
        <w:rPr>
          <w:rFonts w:hint="eastAsia" w:ascii="宋体" w:hAnsi="宋体" w:cs="仿宋_GB2312"/>
          <w:bCs/>
          <w:sz w:val="24"/>
          <w:szCs w:val="24"/>
        </w:rPr>
        <w:t>1．过程性评价。</w:t>
      </w:r>
      <w:r>
        <w:rPr>
          <w:rFonts w:hint="eastAsia" w:ascii="宋体" w:hAnsi="宋体" w:cs="仿宋_GB2312"/>
          <w:sz w:val="24"/>
          <w:szCs w:val="24"/>
        </w:rPr>
        <w:t>学校在每学期末对学生的音乐课程（含必修、选修模块）学习成绩、学习态度、课堂表现及参与美育实践活动的经历等予以评定。过程性评价由学校在每学期末参照《深圳市普通高中音乐学业水平考试过程性评价建议表》为每个学生予以评定。</w:t>
      </w:r>
    </w:p>
    <w:p>
      <w:pPr>
        <w:widowControl/>
        <w:spacing w:line="396" w:lineRule="atLeast"/>
        <w:ind w:firstLine="480" w:firstLineChars="200"/>
        <w:rPr>
          <w:rFonts w:hint="eastAsia" w:ascii="宋体" w:hAnsi="宋体" w:cs="仿宋_GB2312"/>
          <w:sz w:val="24"/>
          <w:szCs w:val="24"/>
        </w:rPr>
      </w:pPr>
      <w:r>
        <w:rPr>
          <w:rFonts w:hint="eastAsia" w:ascii="宋体" w:hAnsi="宋体" w:cs="仿宋_GB2312"/>
          <w:bCs/>
          <w:sz w:val="24"/>
          <w:szCs w:val="24"/>
        </w:rPr>
        <w:t>2．专项测试。</w:t>
      </w:r>
      <w:r>
        <w:rPr>
          <w:rFonts w:hint="eastAsia" w:ascii="宋体" w:hAnsi="宋体" w:cs="仿宋_GB2312"/>
          <w:sz w:val="24"/>
          <w:szCs w:val="24"/>
        </w:rPr>
        <w:t>学生在歌唱（含合唱）、演奏（含合奏）、舞蹈表演（含群舞）、戏剧表演（含集体表演）、音乐基础理论和视唱练耳中自主选择1－2项音乐技能进行实践考核。以学生实际能力测试为主，着重考查学生实践活动中的音乐表现和创意实践方面的能力和特长。</w:t>
      </w:r>
    </w:p>
    <w:p>
      <w:pPr>
        <w:spacing w:line="396" w:lineRule="atLeast"/>
        <w:ind w:firstLine="480" w:firstLineChars="200"/>
        <w:rPr>
          <w:rFonts w:hint="eastAsia" w:ascii="宋体" w:hAnsi="宋体" w:cs="仿宋_GB2312"/>
          <w:sz w:val="24"/>
          <w:szCs w:val="24"/>
        </w:rPr>
      </w:pPr>
      <w:r>
        <w:rPr>
          <w:rFonts w:hint="eastAsia" w:ascii="宋体" w:hAnsi="宋体" w:cs="仿宋_GB2312"/>
          <w:bCs/>
          <w:sz w:val="24"/>
          <w:szCs w:val="24"/>
        </w:rPr>
        <w:t>3．必修课程测试。</w:t>
      </w:r>
      <w:r>
        <w:rPr>
          <w:rFonts w:hint="eastAsia" w:ascii="宋体" w:hAnsi="宋体" w:cs="仿宋_GB2312"/>
          <w:sz w:val="24"/>
          <w:szCs w:val="24"/>
        </w:rPr>
        <w:t>采用笔试或计算机测试的方式，主要用于音乐鉴赏或基础理论等知识类的测试。测试学生对基础知识与基础技能的掌握情况及在审美感知、艺术表现和文化理解三个方面的核心素养。测试的内容以必修课程内容为主。</w:t>
      </w:r>
    </w:p>
    <w:p>
      <w:pPr>
        <w:widowControl/>
        <w:shd w:val="clear" w:color="auto" w:fill="FFFFFF"/>
        <w:spacing w:line="396" w:lineRule="atLeast"/>
        <w:ind w:firstLine="480" w:firstLineChars="200"/>
        <w:rPr>
          <w:rFonts w:hint="eastAsia" w:ascii="黑体" w:hAnsi="宋体" w:eastAsia="黑体"/>
          <w:kern w:val="0"/>
          <w:sz w:val="24"/>
          <w:szCs w:val="24"/>
        </w:rPr>
      </w:pPr>
      <w:r>
        <w:rPr>
          <w:rFonts w:hint="eastAsia" w:ascii="黑体" w:hAnsi="宋体" w:eastAsia="黑体"/>
          <w:kern w:val="0"/>
          <w:sz w:val="24"/>
          <w:szCs w:val="24"/>
        </w:rPr>
        <w:t>四、考试对象和时间</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具有普通高中学籍的在校学生和申请普通高中同等学力的人员均应参加普通高中音乐学业水平考试。</w:t>
      </w:r>
    </w:p>
    <w:p>
      <w:pPr>
        <w:spacing w:line="396" w:lineRule="atLeast"/>
        <w:ind w:firstLine="480" w:firstLineChars="200"/>
        <w:rPr>
          <w:rFonts w:hint="eastAsia" w:ascii="宋体" w:hAnsi="宋体" w:cs="仿宋_GB2312"/>
          <w:sz w:val="24"/>
          <w:szCs w:val="24"/>
        </w:rPr>
      </w:pPr>
      <w:r>
        <w:rPr>
          <w:rFonts w:hint="eastAsia" w:ascii="宋体" w:hAnsi="宋体" w:cs="仿宋_GB2312"/>
          <w:sz w:val="24"/>
          <w:szCs w:val="24"/>
        </w:rPr>
        <w:t>首次必修课程测试安排在第3学期末，有特殊情况需补考的，与下一学年度学生一起安排补考。专项测试统一安排在第4学期进行，</w:t>
      </w:r>
      <w:r>
        <w:rPr>
          <w:rFonts w:hint="eastAsia" w:ascii="宋体" w:hAnsi="宋体" w:cs="仿宋_GB2312"/>
          <w:kern w:val="0"/>
          <w:sz w:val="24"/>
          <w:szCs w:val="24"/>
        </w:rPr>
        <w:t>在模块修习结束后，学校组织开展集中测试或在音乐课堂中随堂进行。</w:t>
      </w:r>
      <w:r>
        <w:rPr>
          <w:rFonts w:hint="eastAsia" w:ascii="宋体" w:hAnsi="宋体" w:cs="仿宋_GB2312"/>
          <w:sz w:val="24"/>
          <w:szCs w:val="24"/>
        </w:rPr>
        <w:t>申请同等学力人员参加专项测试和</w:t>
      </w:r>
      <w:r>
        <w:rPr>
          <w:rFonts w:hint="eastAsia" w:ascii="宋体" w:hAnsi="宋体"/>
          <w:sz w:val="24"/>
          <w:szCs w:val="24"/>
        </w:rPr>
        <w:t>必修课程测试。</w:t>
      </w:r>
    </w:p>
    <w:p>
      <w:pPr>
        <w:widowControl/>
        <w:shd w:val="clear" w:color="auto" w:fill="FFFFFF"/>
        <w:spacing w:line="384" w:lineRule="atLeast"/>
        <w:ind w:firstLine="480" w:firstLineChars="200"/>
        <w:rPr>
          <w:rFonts w:hint="eastAsia" w:ascii="黑体" w:hAnsi="宋体" w:eastAsia="黑体"/>
          <w:kern w:val="0"/>
          <w:sz w:val="24"/>
          <w:szCs w:val="24"/>
        </w:rPr>
      </w:pPr>
      <w:r>
        <w:rPr>
          <w:rFonts w:hint="eastAsia" w:ascii="黑体" w:hAnsi="宋体" w:eastAsia="黑体"/>
          <w:kern w:val="0"/>
          <w:sz w:val="24"/>
          <w:szCs w:val="24"/>
        </w:rPr>
        <w:t>五、考试组织实施</w:t>
      </w:r>
    </w:p>
    <w:p>
      <w:pPr>
        <w:pStyle w:val="5"/>
        <w:spacing w:line="384" w:lineRule="atLeast"/>
        <w:ind w:firstLine="480"/>
        <w:rPr>
          <w:rFonts w:ascii="宋体" w:hAnsi="宋体" w:cs="仿宋_GB2312"/>
          <w:sz w:val="24"/>
          <w:szCs w:val="24"/>
        </w:rPr>
      </w:pPr>
      <w:r>
        <w:rPr>
          <w:rFonts w:hint="eastAsia" w:ascii="宋体" w:hAnsi="宋体" w:cs="仿宋_GB2312"/>
          <w:sz w:val="24"/>
          <w:szCs w:val="24"/>
        </w:rPr>
        <w:t>普通高中音乐科目学业水平考试过程性评价</w:t>
      </w:r>
      <w:r>
        <w:rPr>
          <w:rFonts w:hint="eastAsia" w:ascii="宋体" w:hAnsi="宋体"/>
          <w:kern w:val="0"/>
          <w:sz w:val="24"/>
          <w:szCs w:val="24"/>
        </w:rPr>
        <w:t>和专项测试由学校组织实施</w:t>
      </w:r>
      <w:r>
        <w:rPr>
          <w:rFonts w:hint="eastAsia" w:ascii="宋体" w:hAnsi="宋体" w:cs="仿宋_GB2312"/>
          <w:sz w:val="24"/>
          <w:szCs w:val="24"/>
        </w:rPr>
        <w:t>。</w:t>
      </w:r>
      <w:r>
        <w:rPr>
          <w:rFonts w:hint="eastAsia" w:ascii="宋体" w:hAnsi="宋体"/>
          <w:sz w:val="24"/>
          <w:szCs w:val="24"/>
        </w:rPr>
        <w:t>必修课程测试</w:t>
      </w:r>
      <w:r>
        <w:rPr>
          <w:rFonts w:hint="eastAsia" w:ascii="宋体" w:hAnsi="宋体" w:cs="仿宋_GB2312"/>
          <w:sz w:val="24"/>
          <w:szCs w:val="24"/>
        </w:rPr>
        <w:t>由市教科院统一提供试题。区教育行政部门统一组织，学校具体实施。</w:t>
      </w:r>
    </w:p>
    <w:p>
      <w:pPr>
        <w:widowControl/>
        <w:shd w:val="clear" w:color="auto" w:fill="FFFFFF"/>
        <w:spacing w:line="384" w:lineRule="atLeast"/>
        <w:ind w:firstLine="480" w:firstLineChars="200"/>
        <w:rPr>
          <w:rFonts w:hint="eastAsia" w:ascii="黑体" w:hAnsi="宋体" w:eastAsia="黑体"/>
          <w:kern w:val="0"/>
          <w:sz w:val="24"/>
          <w:szCs w:val="24"/>
        </w:rPr>
      </w:pPr>
      <w:r>
        <w:rPr>
          <w:rFonts w:hint="eastAsia" w:ascii="黑体" w:hAnsi="宋体" w:eastAsia="黑体"/>
          <w:kern w:val="0"/>
          <w:sz w:val="24"/>
          <w:szCs w:val="24"/>
        </w:rPr>
        <w:t>六、考试成绩呈现</w:t>
      </w:r>
    </w:p>
    <w:p>
      <w:pPr>
        <w:spacing w:line="384" w:lineRule="atLeast"/>
        <w:ind w:firstLine="480" w:firstLineChars="200"/>
        <w:rPr>
          <w:rFonts w:hint="eastAsia" w:ascii="宋体" w:hAnsi="宋体" w:cs="仿宋_GB2312"/>
          <w:sz w:val="24"/>
          <w:szCs w:val="24"/>
        </w:rPr>
      </w:pPr>
      <w:r>
        <w:rPr>
          <w:rFonts w:hint="eastAsia" w:ascii="宋体" w:hAnsi="宋体" w:cs="仿宋_GB2312"/>
          <w:sz w:val="24"/>
          <w:szCs w:val="24"/>
        </w:rPr>
        <w:t>普通高中音乐学科学业水平考试总成绩为：过程性评价×20%＋专项测试×30%＋必修课程测试×50%。申请同等学力人员的总成绩为：专项测试×40%＋必修课程测试×60%。最终成绩呈现方式为“合格”或“不合格”。考试不合格的，专项测试和必修课程测试可根据考试安排参加补考。</w:t>
      </w:r>
    </w:p>
    <w:p>
      <w:pPr>
        <w:widowControl/>
        <w:shd w:val="clear" w:color="auto" w:fill="FFFFFF"/>
        <w:spacing w:line="384" w:lineRule="atLeast"/>
        <w:ind w:firstLine="480" w:firstLineChars="200"/>
        <w:rPr>
          <w:rFonts w:hint="eastAsia" w:ascii="黑体" w:hAnsi="宋体" w:eastAsia="黑体"/>
          <w:kern w:val="0"/>
          <w:sz w:val="24"/>
          <w:szCs w:val="24"/>
        </w:rPr>
      </w:pPr>
      <w:r>
        <w:rPr>
          <w:rFonts w:hint="eastAsia" w:ascii="黑体" w:hAnsi="宋体" w:eastAsia="黑体"/>
          <w:kern w:val="0"/>
          <w:sz w:val="24"/>
          <w:szCs w:val="24"/>
        </w:rPr>
        <w:t>七、免考、缓考及其他特殊政策</w:t>
      </w:r>
    </w:p>
    <w:p>
      <w:pPr>
        <w:spacing w:line="384" w:lineRule="atLeast"/>
        <w:ind w:firstLine="480" w:firstLineChars="200"/>
        <w:rPr>
          <w:rFonts w:hint="eastAsia" w:ascii="宋体" w:hAnsi="宋体"/>
          <w:kern w:val="24"/>
          <w:sz w:val="24"/>
          <w:szCs w:val="24"/>
        </w:rPr>
      </w:pPr>
      <w:r>
        <w:rPr>
          <w:rFonts w:hint="eastAsia" w:ascii="宋体" w:hAnsi="宋体"/>
          <w:kern w:val="24"/>
          <w:sz w:val="24"/>
          <w:szCs w:val="24"/>
        </w:rPr>
        <w:t>对因病、残不能参加音乐专项测试的考生，可视病、残程度，申请免考或缓考。免考限声带、听力、视力、语言障碍等。</w:t>
      </w:r>
      <w:r>
        <w:rPr>
          <w:rFonts w:hint="eastAsia" w:ascii="宋体" w:hAnsi="宋体" w:cs="仿宋_GB2312"/>
          <w:kern w:val="24"/>
          <w:sz w:val="24"/>
          <w:szCs w:val="24"/>
        </w:rPr>
        <w:t>申请免考或缓考的考生须持残联颁发的残疾人证明或三甲以上医院的诊断证明（就医病历），经学校同意并加盖公章后，由学校汇总报区教育行政部门</w:t>
      </w:r>
      <w:r>
        <w:rPr>
          <w:rFonts w:hint="eastAsia" w:ascii="宋体" w:hAnsi="宋体"/>
          <w:kern w:val="24"/>
          <w:sz w:val="24"/>
          <w:szCs w:val="24"/>
        </w:rPr>
        <w:t>认定。免考学生专项测试成绩认定为“免考合格”。</w:t>
      </w:r>
    </w:p>
    <w:p>
      <w:pPr>
        <w:widowControl/>
        <w:shd w:val="clear" w:color="auto" w:fill="FFFFFF"/>
        <w:spacing w:line="384" w:lineRule="atLeast"/>
        <w:ind w:firstLine="480" w:firstLineChars="200"/>
        <w:rPr>
          <w:rFonts w:hint="eastAsia" w:ascii="黑体" w:hAnsi="宋体" w:eastAsia="黑体"/>
          <w:kern w:val="0"/>
          <w:sz w:val="24"/>
          <w:szCs w:val="24"/>
        </w:rPr>
      </w:pPr>
      <w:r>
        <w:rPr>
          <w:rFonts w:hint="eastAsia" w:ascii="黑体" w:hAnsi="宋体" w:eastAsia="黑体"/>
          <w:kern w:val="0"/>
          <w:sz w:val="24"/>
          <w:szCs w:val="24"/>
        </w:rPr>
        <w:t>八、工作要求</w:t>
      </w:r>
    </w:p>
    <w:p>
      <w:pPr>
        <w:pStyle w:val="5"/>
        <w:spacing w:line="384" w:lineRule="atLeast"/>
        <w:ind w:firstLine="480"/>
        <w:rPr>
          <w:rFonts w:hint="eastAsia" w:ascii="宋体" w:hAnsi="宋体"/>
          <w:kern w:val="0"/>
          <w:sz w:val="24"/>
          <w:szCs w:val="24"/>
        </w:rPr>
      </w:pPr>
      <w:r>
        <w:rPr>
          <w:rFonts w:hint="eastAsia" w:ascii="宋体" w:hAnsi="宋体" w:cs="楷体_GB2312"/>
          <w:bCs/>
          <w:kern w:val="0"/>
          <w:sz w:val="24"/>
          <w:szCs w:val="24"/>
        </w:rPr>
        <w:t>（一）加强组织领导。</w:t>
      </w:r>
      <w:r>
        <w:rPr>
          <w:rFonts w:hint="eastAsia" w:ascii="宋体" w:hAnsi="宋体" w:cs="仿宋_GB2312"/>
          <w:sz w:val="24"/>
          <w:szCs w:val="24"/>
        </w:rPr>
        <w:t>各区教育行政部门、各学校要</w:t>
      </w:r>
      <w:r>
        <w:rPr>
          <w:rFonts w:hint="eastAsia" w:ascii="宋体" w:hAnsi="宋体" w:cs="Times New Roman"/>
          <w:kern w:val="15"/>
          <w:sz w:val="24"/>
          <w:szCs w:val="24"/>
        </w:rPr>
        <w:t>高度重视，</w:t>
      </w:r>
      <w:r>
        <w:rPr>
          <w:rFonts w:hint="eastAsia" w:ascii="宋体" w:hAnsi="宋体" w:cs="仿宋_GB2312"/>
          <w:sz w:val="24"/>
          <w:szCs w:val="24"/>
        </w:rPr>
        <w:t>成立音乐学业水平考试工作领导小组，</w:t>
      </w:r>
      <w:r>
        <w:rPr>
          <w:rFonts w:hint="eastAsia" w:ascii="宋体" w:hAnsi="宋体" w:cs="Times New Roman"/>
          <w:kern w:val="15"/>
          <w:sz w:val="24"/>
          <w:szCs w:val="24"/>
        </w:rPr>
        <w:t>制定周全的考试应急预案。</w:t>
      </w:r>
      <w:r>
        <w:rPr>
          <w:rFonts w:hint="eastAsia" w:ascii="宋体" w:hAnsi="宋体"/>
          <w:kern w:val="0"/>
          <w:sz w:val="24"/>
          <w:szCs w:val="24"/>
        </w:rPr>
        <w:t>各学校根据本实施办法制定本校高中学生</w:t>
      </w:r>
      <w:r>
        <w:rPr>
          <w:rFonts w:hint="eastAsia" w:ascii="宋体" w:hAnsi="宋体" w:cs="仿宋_GB2312"/>
          <w:sz w:val="24"/>
          <w:szCs w:val="24"/>
        </w:rPr>
        <w:t>音乐</w:t>
      </w:r>
      <w:r>
        <w:rPr>
          <w:rFonts w:hint="eastAsia" w:ascii="宋体" w:hAnsi="宋体" w:cs="仿宋_GB2312"/>
          <w:sz w:val="24"/>
          <w:szCs w:val="24"/>
          <w:lang w:val="zh-CN"/>
        </w:rPr>
        <w:t>学业水平考试</w:t>
      </w:r>
      <w:r>
        <w:rPr>
          <w:rFonts w:hint="eastAsia" w:ascii="宋体" w:hAnsi="宋体" w:cs="仿宋_GB2312"/>
          <w:sz w:val="24"/>
          <w:szCs w:val="24"/>
        </w:rPr>
        <w:t>过程性评价</w:t>
      </w:r>
      <w:r>
        <w:rPr>
          <w:rFonts w:hint="eastAsia" w:ascii="宋体" w:hAnsi="宋体"/>
          <w:kern w:val="0"/>
          <w:sz w:val="24"/>
          <w:szCs w:val="24"/>
        </w:rPr>
        <w:t>和专项测试</w:t>
      </w:r>
      <w:r>
        <w:rPr>
          <w:rFonts w:hint="eastAsia" w:ascii="宋体" w:hAnsi="宋体" w:cs="仿宋_GB2312"/>
          <w:sz w:val="24"/>
          <w:szCs w:val="24"/>
          <w:lang w:val="zh-CN"/>
        </w:rPr>
        <w:t>实施细则</w:t>
      </w:r>
      <w:r>
        <w:rPr>
          <w:rFonts w:hint="eastAsia" w:ascii="宋体" w:hAnsi="宋体" w:cs="仿宋_GB2312"/>
          <w:sz w:val="24"/>
          <w:szCs w:val="24"/>
        </w:rPr>
        <w:t>，</w:t>
      </w:r>
      <w:r>
        <w:rPr>
          <w:rFonts w:hint="eastAsia" w:ascii="宋体" w:hAnsi="宋体"/>
          <w:kern w:val="0"/>
          <w:sz w:val="24"/>
          <w:szCs w:val="24"/>
        </w:rPr>
        <w:t>报区教育行政部门备案。</w:t>
      </w:r>
    </w:p>
    <w:p>
      <w:pPr>
        <w:spacing w:line="384" w:lineRule="atLeast"/>
        <w:ind w:firstLine="480" w:firstLineChars="200"/>
        <w:rPr>
          <w:rFonts w:hint="eastAsia" w:ascii="宋体" w:hAnsi="宋体"/>
          <w:kern w:val="0"/>
          <w:sz w:val="24"/>
          <w:szCs w:val="24"/>
        </w:rPr>
      </w:pPr>
      <w:r>
        <w:rPr>
          <w:rFonts w:hint="eastAsia" w:ascii="宋体" w:hAnsi="宋体" w:cs="楷体_GB2312"/>
          <w:bCs/>
          <w:kern w:val="0"/>
          <w:sz w:val="24"/>
          <w:szCs w:val="24"/>
        </w:rPr>
        <w:t>（二）加强教学管理。</w:t>
      </w:r>
      <w:r>
        <w:rPr>
          <w:rFonts w:hint="eastAsia" w:ascii="宋体" w:hAnsi="宋体"/>
          <w:kern w:val="24"/>
          <w:sz w:val="24"/>
          <w:szCs w:val="24"/>
        </w:rPr>
        <w:t>各学校要严格落实《普通高中</w:t>
      </w:r>
      <w:r>
        <w:rPr>
          <w:rFonts w:hint="eastAsia" w:ascii="宋体" w:hAnsi="宋体" w:cs="仿宋_GB2312"/>
          <w:kern w:val="24"/>
          <w:sz w:val="24"/>
          <w:szCs w:val="24"/>
        </w:rPr>
        <w:t>音乐</w:t>
      </w:r>
      <w:r>
        <w:rPr>
          <w:rFonts w:hint="eastAsia" w:ascii="宋体" w:hAnsi="宋体"/>
          <w:kern w:val="24"/>
          <w:sz w:val="24"/>
          <w:szCs w:val="24"/>
        </w:rPr>
        <w:t>课程标准（</w:t>
      </w:r>
      <w:r>
        <w:rPr>
          <w:rFonts w:ascii="宋体" w:hAnsi="宋体"/>
          <w:kern w:val="24"/>
          <w:sz w:val="24"/>
          <w:szCs w:val="24"/>
        </w:rPr>
        <w:t>2017</w:t>
      </w:r>
      <w:r>
        <w:rPr>
          <w:rFonts w:hint="eastAsia" w:ascii="宋体" w:hAnsi="宋体"/>
          <w:kern w:val="24"/>
          <w:sz w:val="24"/>
          <w:szCs w:val="24"/>
        </w:rPr>
        <w:t>年版</w:t>
      </w:r>
      <w:r>
        <w:rPr>
          <w:rFonts w:ascii="宋体" w:hAnsi="宋体"/>
          <w:kern w:val="24"/>
          <w:sz w:val="24"/>
          <w:szCs w:val="24"/>
        </w:rPr>
        <w:t>2020</w:t>
      </w:r>
      <w:r>
        <w:rPr>
          <w:rFonts w:hint="eastAsia" w:ascii="宋体" w:hAnsi="宋体"/>
          <w:kern w:val="24"/>
          <w:sz w:val="24"/>
          <w:szCs w:val="24"/>
        </w:rPr>
        <w:t>年修订）》，合理安排教学进度，严禁压缩课程授课时间，确保开齐开足音乐课程。学校在开设音乐课程时，至少保障在第3学期前全员开足音乐鉴赏18学时（1学分），并按照普通高中音乐课程以音乐鉴赏、歌唱、演奏、音乐编创、音乐与舞蹈、音乐与戏剧六个模块</w:t>
      </w:r>
      <w:r>
        <w:rPr>
          <w:rFonts w:hint="eastAsia" w:ascii="宋体" w:hAnsi="宋体"/>
          <w:kern w:val="0"/>
          <w:sz w:val="24"/>
          <w:szCs w:val="24"/>
        </w:rPr>
        <w:t>为必修（选学）课程，以合唱、合奏、舞蹈表演、戏剧表演、音乐基础理论、视唱练耳六个模块为选择性必修课程，以学校安排开设、学生自主选择修习的课程为选择课程，必修、选择性必修与选修课程的有机结合及内在联系，构成以培育和发展学生音乐学科核心素养为目标的课程体系，以满足学生不同音乐爱好和特长发展需要。合理调整教学组织方式，满足学生选学的需要，把走班教学落到实处。</w:t>
      </w:r>
    </w:p>
    <w:p>
      <w:pPr>
        <w:spacing w:line="384" w:lineRule="atLeast"/>
        <w:ind w:firstLine="480" w:firstLineChars="200"/>
        <w:rPr>
          <w:rFonts w:hint="eastAsia" w:ascii="宋体" w:hAnsi="宋体"/>
          <w:kern w:val="0"/>
          <w:sz w:val="24"/>
          <w:szCs w:val="24"/>
        </w:rPr>
      </w:pPr>
      <w:r>
        <w:rPr>
          <w:rFonts w:hint="eastAsia" w:ascii="宋体" w:hAnsi="宋体" w:cs="楷体_GB2312"/>
          <w:bCs/>
          <w:kern w:val="0"/>
          <w:sz w:val="24"/>
          <w:szCs w:val="24"/>
        </w:rPr>
        <w:t>（三）建立结果公示制度。</w:t>
      </w:r>
      <w:r>
        <w:rPr>
          <w:rFonts w:hint="eastAsia" w:ascii="宋体" w:hAnsi="宋体"/>
          <w:kern w:val="0"/>
          <w:sz w:val="24"/>
          <w:szCs w:val="24"/>
        </w:rPr>
        <w:t>各学校在校内公示学生测试结果。市招考办和区教育行政部门设立和公布监督电话，接受社会监督。</w:t>
      </w:r>
    </w:p>
    <w:p>
      <w:pPr>
        <w:spacing w:line="384" w:lineRule="atLeast"/>
        <w:ind w:firstLine="480" w:firstLineChars="200"/>
        <w:rPr>
          <w:rFonts w:hint="eastAsia" w:ascii="宋体" w:hAnsi="宋体"/>
          <w:kern w:val="0"/>
          <w:sz w:val="24"/>
          <w:szCs w:val="24"/>
        </w:rPr>
      </w:pPr>
    </w:p>
    <w:p>
      <w:pPr>
        <w:widowControl/>
        <w:spacing w:line="384" w:lineRule="atLeast"/>
        <w:ind w:firstLine="480" w:firstLineChars="200"/>
        <w:rPr>
          <w:rFonts w:hint="eastAsia" w:ascii="宋体" w:hAnsi="宋体" w:cs="仿宋_GB2312"/>
          <w:kern w:val="24"/>
          <w:sz w:val="24"/>
          <w:szCs w:val="24"/>
        </w:rPr>
      </w:pPr>
      <w:r>
        <w:rPr>
          <w:rFonts w:hint="eastAsia" w:ascii="宋体" w:hAnsi="宋体" w:cs="仿宋_GB2312"/>
          <w:kern w:val="24"/>
          <w:sz w:val="24"/>
          <w:szCs w:val="24"/>
        </w:rPr>
        <w:t>附表：1．深圳市普通高中音乐学业水平考试过程性评价建议表</w:t>
      </w:r>
    </w:p>
    <w:p>
      <w:pPr>
        <w:widowControl/>
        <w:tabs>
          <w:tab w:val="left" w:pos="312"/>
        </w:tabs>
        <w:spacing w:line="384" w:lineRule="atLeast"/>
        <w:ind w:firstLine="1200" w:firstLineChars="500"/>
        <w:rPr>
          <w:rFonts w:hint="eastAsia" w:ascii="宋体" w:hAnsi="宋体" w:cs="仿宋_GB2312"/>
          <w:kern w:val="24"/>
          <w:sz w:val="24"/>
          <w:szCs w:val="24"/>
        </w:rPr>
      </w:pPr>
      <w:r>
        <w:rPr>
          <w:rFonts w:hint="eastAsia" w:ascii="宋体" w:hAnsi="宋体" w:cs="仿宋_GB2312"/>
          <w:kern w:val="24"/>
          <w:sz w:val="24"/>
          <w:szCs w:val="24"/>
        </w:rPr>
        <w:t>2．深圳市普通高中音乐学业水平考试成绩评定结果汇总表（略）</w:t>
      </w:r>
    </w:p>
    <w:p>
      <w:pPr>
        <w:spacing w:line="400" w:lineRule="atLeast"/>
        <w:rPr>
          <w:rFonts w:hint="eastAsia" w:ascii="宋体" w:hAnsi="宋体" w:cs="仿宋_GB2312"/>
          <w:kern w:val="0"/>
          <w:sz w:val="24"/>
          <w:szCs w:val="24"/>
        </w:rPr>
      </w:pPr>
      <w:r>
        <w:rPr>
          <w:rFonts w:hint="eastAsia" w:ascii="宋体" w:hAnsi="宋体" w:cs="仿宋_GB2312"/>
          <w:kern w:val="0"/>
          <w:sz w:val="24"/>
          <w:szCs w:val="24"/>
        </w:rPr>
        <w:t>附表1</w:t>
      </w:r>
    </w:p>
    <w:p>
      <w:pPr>
        <w:spacing w:before="120" w:beforeLines="50" w:line="0" w:lineRule="atLeast"/>
        <w:jc w:val="center"/>
        <w:rPr>
          <w:rFonts w:hint="eastAsia" w:ascii="宋体" w:hAnsi="宋体"/>
          <w:sz w:val="36"/>
          <w:szCs w:val="36"/>
        </w:rPr>
      </w:pPr>
      <w:r>
        <w:rPr>
          <w:rFonts w:hint="eastAsia" w:ascii="宋体" w:hAnsi="宋体"/>
          <w:sz w:val="36"/>
          <w:szCs w:val="36"/>
        </w:rPr>
        <w:t>深圳市普通高中音乐学业水平考试过程性评价建议表</w:t>
      </w:r>
    </w:p>
    <w:p>
      <w:pPr>
        <w:spacing w:before="120" w:beforeLines="50" w:after="72" w:afterLines="30" w:line="400" w:lineRule="atLeast"/>
        <w:ind w:firstLine="420" w:firstLineChars="200"/>
        <w:rPr>
          <w:rFonts w:hint="eastAsia" w:ascii="宋体" w:hAnsi="宋体"/>
          <w:szCs w:val="21"/>
        </w:rPr>
      </w:pPr>
      <w:r>
        <w:rPr>
          <w:rFonts w:hint="eastAsia" w:ascii="宋体" w:hAnsi="宋体"/>
          <w:szCs w:val="21"/>
        </w:rPr>
        <w:t xml:space="preserve">学校：                   班级：            学生姓名：            </w:t>
      </w:r>
    </w:p>
    <w:tbl>
      <w:tblPr>
        <w:tblStyle w:val="3"/>
        <w:tblW w:w="0" w:type="auto"/>
        <w:jc w:val="center"/>
        <w:tblLayout w:type="fixed"/>
        <w:tblCellMar>
          <w:top w:w="0" w:type="dxa"/>
          <w:left w:w="0" w:type="dxa"/>
          <w:bottom w:w="0" w:type="dxa"/>
          <w:right w:w="0" w:type="dxa"/>
        </w:tblCellMar>
      </w:tblPr>
      <w:tblGrid>
        <w:gridCol w:w="1334"/>
        <w:gridCol w:w="6042"/>
        <w:gridCol w:w="502"/>
        <w:gridCol w:w="534"/>
        <w:gridCol w:w="505"/>
      </w:tblGrid>
      <w:tr>
        <w:tblPrEx>
          <w:tblCellMar>
            <w:top w:w="0" w:type="dxa"/>
            <w:left w:w="0" w:type="dxa"/>
            <w:bottom w:w="0" w:type="dxa"/>
            <w:right w:w="0" w:type="dxa"/>
          </w:tblCellMar>
        </w:tblPrEx>
        <w:trPr>
          <w:cantSplit/>
          <w:trHeight w:val="284" w:hRule="atLeast"/>
          <w:jc w:val="center"/>
        </w:trPr>
        <w:tc>
          <w:tcPr>
            <w:tcW w:w="133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jc w:val="center"/>
              <w:rPr>
                <w:rFonts w:hint="eastAsia" w:ascii="黑体" w:hAnsi="宋体" w:eastAsia="黑体"/>
                <w:szCs w:val="21"/>
              </w:rPr>
            </w:pPr>
            <w:r>
              <w:rPr>
                <w:rFonts w:hint="eastAsia" w:ascii="黑体" w:hAnsi="宋体" w:eastAsia="黑体"/>
                <w:szCs w:val="21"/>
              </w:rPr>
              <w:t>评价项目</w:t>
            </w:r>
          </w:p>
        </w:tc>
        <w:tc>
          <w:tcPr>
            <w:tcW w:w="60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jc w:val="center"/>
              <w:rPr>
                <w:rFonts w:hint="eastAsia" w:ascii="黑体" w:hAnsi="宋体" w:eastAsia="黑体"/>
                <w:szCs w:val="21"/>
              </w:rPr>
            </w:pPr>
            <w:r>
              <w:rPr>
                <w:rFonts w:hint="eastAsia" w:ascii="黑体" w:hAnsi="宋体" w:eastAsia="黑体"/>
                <w:szCs w:val="21"/>
              </w:rPr>
              <w:t>评分参考标准</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jc w:val="center"/>
              <w:rPr>
                <w:rFonts w:hint="eastAsia" w:ascii="黑体" w:hAnsi="宋体" w:eastAsia="黑体"/>
                <w:szCs w:val="21"/>
              </w:rPr>
            </w:pPr>
            <w:r>
              <w:rPr>
                <w:rFonts w:hint="eastAsia" w:ascii="黑体" w:hAnsi="宋体" w:eastAsia="黑体"/>
                <w:szCs w:val="21"/>
              </w:rPr>
              <w:t>分值</w:t>
            </w:r>
          </w:p>
        </w:tc>
        <w:tc>
          <w:tcPr>
            <w:tcW w:w="53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jc w:val="center"/>
              <w:rPr>
                <w:rFonts w:hint="eastAsia" w:ascii="黑体" w:hAnsi="宋体" w:eastAsia="黑体"/>
                <w:szCs w:val="21"/>
              </w:rPr>
            </w:pPr>
            <w:r>
              <w:rPr>
                <w:rFonts w:hint="eastAsia" w:ascii="黑体" w:hAnsi="宋体" w:eastAsia="黑体"/>
                <w:szCs w:val="21"/>
              </w:rPr>
              <w:t>得分</w:t>
            </w:r>
          </w:p>
        </w:tc>
        <w:tc>
          <w:tcPr>
            <w:tcW w:w="50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jc w:val="center"/>
              <w:rPr>
                <w:rFonts w:hint="eastAsia" w:ascii="黑体" w:hAnsi="宋体" w:eastAsia="黑体"/>
                <w:szCs w:val="21"/>
              </w:rPr>
            </w:pPr>
            <w:r>
              <w:rPr>
                <w:rFonts w:hint="eastAsia" w:ascii="黑体" w:hAnsi="宋体" w:eastAsia="黑体"/>
                <w:szCs w:val="21"/>
              </w:rPr>
              <w:t>备注</w:t>
            </w:r>
          </w:p>
        </w:tc>
      </w:tr>
      <w:tr>
        <w:tblPrEx>
          <w:tblCellMar>
            <w:top w:w="0" w:type="dxa"/>
            <w:left w:w="0" w:type="dxa"/>
            <w:bottom w:w="0" w:type="dxa"/>
            <w:right w:w="0" w:type="dxa"/>
          </w:tblCellMar>
        </w:tblPrEx>
        <w:trPr>
          <w:cantSplit/>
          <w:trHeight w:val="284" w:hRule="atLeast"/>
          <w:jc w:val="center"/>
        </w:trPr>
        <w:tc>
          <w:tcPr>
            <w:tcW w:w="133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jc w:val="center"/>
              <w:rPr>
                <w:rFonts w:ascii="宋体" w:hAnsi="宋体"/>
                <w:szCs w:val="21"/>
              </w:rPr>
            </w:pPr>
            <w:r>
              <w:rPr>
                <w:rFonts w:hint="eastAsia" w:ascii="宋体" w:hAnsi="宋体"/>
                <w:szCs w:val="21"/>
              </w:rPr>
              <w:t>上课出勤</w:t>
            </w:r>
          </w:p>
          <w:p>
            <w:pPr>
              <w:spacing w:line="290" w:lineRule="exact"/>
              <w:ind w:left="21" w:leftChars="10" w:right="21" w:rightChars="10"/>
              <w:jc w:val="center"/>
              <w:rPr>
                <w:rFonts w:ascii="宋体" w:hAnsi="宋体"/>
                <w:szCs w:val="21"/>
              </w:rPr>
            </w:pPr>
            <w:r>
              <w:rPr>
                <w:rFonts w:hint="eastAsia" w:ascii="宋体" w:hAnsi="宋体"/>
                <w:szCs w:val="21"/>
              </w:rPr>
              <w:t>（30分）</w:t>
            </w:r>
          </w:p>
        </w:tc>
        <w:tc>
          <w:tcPr>
            <w:tcW w:w="60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rPr>
                <w:rFonts w:ascii="宋体" w:hAnsi="宋体"/>
                <w:szCs w:val="21"/>
              </w:rPr>
            </w:pPr>
            <w:r>
              <w:rPr>
                <w:rFonts w:hint="eastAsia" w:ascii="宋体" w:hAnsi="宋体"/>
                <w:szCs w:val="21"/>
              </w:rPr>
              <w:t>能按时参加学校开设的国家音乐课程的学习及音乐课外活动，参与积极性高，无缺课。</w:t>
            </w:r>
          </w:p>
        </w:tc>
        <w:tc>
          <w:tcPr>
            <w:tcW w:w="50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jc w:val="center"/>
              <w:rPr>
                <w:rFonts w:ascii="宋体" w:hAnsi="宋体"/>
                <w:szCs w:val="21"/>
              </w:rPr>
            </w:pPr>
            <w:r>
              <w:rPr>
                <w:rFonts w:hint="eastAsia" w:ascii="宋体" w:hAnsi="宋体"/>
                <w:szCs w:val="21"/>
              </w:rPr>
              <w:t>30</w:t>
            </w:r>
          </w:p>
        </w:tc>
        <w:tc>
          <w:tcPr>
            <w:tcW w:w="53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c>
          <w:tcPr>
            <w:tcW w:w="50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ind w:left="21" w:leftChars="10" w:right="21" w:rightChars="10"/>
              <w:jc w:val="center"/>
              <w:rPr>
                <w:rFonts w:ascii="宋体" w:hAnsi="宋体"/>
                <w:szCs w:val="21"/>
              </w:rPr>
            </w:pPr>
          </w:p>
        </w:tc>
        <w:tc>
          <w:tcPr>
            <w:tcW w:w="60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rPr>
                <w:rFonts w:ascii="宋体" w:hAnsi="宋体"/>
                <w:szCs w:val="21"/>
              </w:rPr>
            </w:pPr>
            <w:r>
              <w:rPr>
                <w:rFonts w:hint="eastAsia" w:ascii="宋体" w:hAnsi="宋体"/>
                <w:szCs w:val="21"/>
              </w:rPr>
              <w:t>能基本按时参加学校开设的国家音乐课程的学习及音乐课外活动，参与积极性一般，无故缺课不超过1次（含1次）。</w:t>
            </w:r>
          </w:p>
        </w:tc>
        <w:tc>
          <w:tcPr>
            <w:tcW w:w="5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jc w:val="center"/>
              <w:rPr>
                <w:rFonts w:ascii="宋体" w:hAnsi="宋体"/>
                <w:szCs w:val="21"/>
              </w:rPr>
            </w:pPr>
            <w:r>
              <w:rPr>
                <w:rFonts w:hint="eastAsia" w:ascii="宋体" w:hAnsi="宋体"/>
                <w:szCs w:val="21"/>
              </w:rPr>
              <w:t>25</w:t>
            </w:r>
          </w:p>
        </w:tc>
        <w:tc>
          <w:tcPr>
            <w:tcW w:w="5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c>
          <w:tcPr>
            <w:tcW w:w="5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ind w:left="21" w:leftChars="10" w:right="21" w:rightChars="10"/>
              <w:jc w:val="center"/>
              <w:rPr>
                <w:rFonts w:ascii="宋体" w:hAnsi="宋体"/>
                <w:szCs w:val="21"/>
              </w:rPr>
            </w:pPr>
          </w:p>
        </w:tc>
        <w:tc>
          <w:tcPr>
            <w:tcW w:w="60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rPr>
                <w:rFonts w:ascii="宋体" w:hAnsi="宋体"/>
                <w:szCs w:val="21"/>
              </w:rPr>
            </w:pPr>
            <w:r>
              <w:rPr>
                <w:rFonts w:hint="eastAsia" w:ascii="宋体" w:hAnsi="宋体"/>
                <w:szCs w:val="21"/>
              </w:rPr>
              <w:t>不能按时参加学校开设的国家音乐课程的学习及音乐课外活动，参与积极性不高，无故缺课超过2次以上（含2次）。</w:t>
            </w:r>
          </w:p>
        </w:tc>
        <w:tc>
          <w:tcPr>
            <w:tcW w:w="5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jc w:val="center"/>
              <w:rPr>
                <w:rFonts w:ascii="宋体" w:hAnsi="宋体"/>
                <w:szCs w:val="21"/>
              </w:rPr>
            </w:pPr>
            <w:r>
              <w:rPr>
                <w:rFonts w:hint="eastAsia" w:ascii="宋体" w:hAnsi="宋体"/>
                <w:szCs w:val="21"/>
              </w:rPr>
              <w:t>20</w:t>
            </w:r>
          </w:p>
        </w:tc>
        <w:tc>
          <w:tcPr>
            <w:tcW w:w="5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c>
          <w:tcPr>
            <w:tcW w:w="5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ind w:left="21" w:leftChars="10" w:right="21" w:rightChars="10"/>
              <w:jc w:val="center"/>
              <w:rPr>
                <w:rFonts w:ascii="宋体" w:hAnsi="宋体"/>
                <w:szCs w:val="21"/>
              </w:rPr>
            </w:pPr>
          </w:p>
        </w:tc>
        <w:tc>
          <w:tcPr>
            <w:tcW w:w="60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rPr>
                <w:rFonts w:ascii="宋体" w:hAnsi="宋体"/>
                <w:szCs w:val="21"/>
              </w:rPr>
            </w:pPr>
            <w:r>
              <w:rPr>
                <w:rFonts w:hint="eastAsia" w:ascii="宋体" w:hAnsi="宋体"/>
                <w:szCs w:val="21"/>
              </w:rPr>
              <w:t>不能按时参加学校开设的国家音乐课程的学习及音乐课外活动，参与积极性不高，无故缺课超过3次以上（含3次）。</w:t>
            </w:r>
          </w:p>
        </w:tc>
        <w:tc>
          <w:tcPr>
            <w:tcW w:w="5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jc w:val="center"/>
              <w:rPr>
                <w:rFonts w:ascii="宋体" w:hAnsi="宋体"/>
                <w:szCs w:val="21"/>
              </w:rPr>
            </w:pPr>
            <w:r>
              <w:rPr>
                <w:rFonts w:hint="eastAsia" w:ascii="宋体" w:hAnsi="宋体"/>
                <w:szCs w:val="21"/>
              </w:rPr>
              <w:t>10</w:t>
            </w:r>
          </w:p>
        </w:tc>
        <w:tc>
          <w:tcPr>
            <w:tcW w:w="5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c>
          <w:tcPr>
            <w:tcW w:w="5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ind w:left="21" w:leftChars="10" w:right="21" w:rightChars="10"/>
              <w:jc w:val="center"/>
              <w:rPr>
                <w:rFonts w:ascii="宋体" w:hAnsi="宋体"/>
                <w:szCs w:val="21"/>
              </w:rPr>
            </w:pPr>
          </w:p>
        </w:tc>
        <w:tc>
          <w:tcPr>
            <w:tcW w:w="60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rPr>
                <w:rFonts w:ascii="宋体" w:hAnsi="宋体"/>
                <w:szCs w:val="21"/>
              </w:rPr>
            </w:pPr>
            <w:r>
              <w:rPr>
                <w:rFonts w:hint="eastAsia" w:ascii="宋体" w:hAnsi="宋体"/>
                <w:szCs w:val="21"/>
              </w:rPr>
              <w:t>基本不参加音乐课程及音乐课外活动。</w:t>
            </w:r>
          </w:p>
        </w:tc>
        <w:tc>
          <w:tcPr>
            <w:tcW w:w="5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jc w:val="center"/>
              <w:rPr>
                <w:rFonts w:ascii="宋体" w:hAnsi="宋体"/>
                <w:szCs w:val="21"/>
              </w:rPr>
            </w:pPr>
            <w:r>
              <w:rPr>
                <w:rFonts w:hint="eastAsia" w:ascii="宋体" w:hAnsi="宋体"/>
                <w:szCs w:val="21"/>
              </w:rPr>
              <w:t>0</w:t>
            </w:r>
          </w:p>
        </w:tc>
        <w:tc>
          <w:tcPr>
            <w:tcW w:w="5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c>
          <w:tcPr>
            <w:tcW w:w="5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3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jc w:val="center"/>
              <w:rPr>
                <w:rFonts w:ascii="宋体" w:hAnsi="宋体"/>
                <w:szCs w:val="21"/>
              </w:rPr>
            </w:pPr>
            <w:r>
              <w:rPr>
                <w:rFonts w:hint="eastAsia" w:ascii="宋体" w:hAnsi="宋体"/>
                <w:szCs w:val="21"/>
              </w:rPr>
              <w:t>课堂综合表现（40分）</w:t>
            </w:r>
          </w:p>
        </w:tc>
        <w:tc>
          <w:tcPr>
            <w:tcW w:w="60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rPr>
                <w:rFonts w:ascii="宋体" w:hAnsi="宋体"/>
                <w:szCs w:val="21"/>
              </w:rPr>
            </w:pPr>
            <w:r>
              <w:rPr>
                <w:rFonts w:hint="eastAsia" w:ascii="宋体" w:hAnsi="宋体"/>
                <w:szCs w:val="21"/>
              </w:rPr>
              <w:t>积极、认真学习音乐课程，积极主动配合老师组织完成各种艺术活动、与他人合作愉悦表现。</w:t>
            </w:r>
          </w:p>
        </w:tc>
        <w:tc>
          <w:tcPr>
            <w:tcW w:w="5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jc w:val="center"/>
              <w:rPr>
                <w:rFonts w:ascii="宋体" w:hAnsi="宋体"/>
                <w:szCs w:val="21"/>
              </w:rPr>
            </w:pPr>
            <w:r>
              <w:rPr>
                <w:rFonts w:hint="eastAsia" w:ascii="宋体" w:hAnsi="宋体"/>
                <w:szCs w:val="21"/>
              </w:rPr>
              <w:t>40</w:t>
            </w:r>
          </w:p>
        </w:tc>
        <w:tc>
          <w:tcPr>
            <w:tcW w:w="5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c>
          <w:tcPr>
            <w:tcW w:w="5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34" w:type="dxa"/>
            <w:vMerge w:val="continue"/>
            <w:tcBorders>
              <w:top w:val="nil"/>
              <w:left w:val="single" w:color="auto" w:sz="4" w:space="0"/>
              <w:bottom w:val="single" w:color="auto" w:sz="4" w:space="0"/>
              <w:right w:val="single" w:color="auto" w:sz="4" w:space="0"/>
            </w:tcBorders>
            <w:noWrap w:val="0"/>
            <w:vAlign w:val="center"/>
          </w:tcPr>
          <w:p>
            <w:pPr>
              <w:widowControl/>
              <w:spacing w:line="290" w:lineRule="exact"/>
              <w:ind w:left="21" w:leftChars="10" w:right="21" w:rightChars="10"/>
              <w:jc w:val="center"/>
              <w:rPr>
                <w:rFonts w:ascii="宋体" w:hAnsi="宋体"/>
                <w:szCs w:val="21"/>
              </w:rPr>
            </w:pPr>
          </w:p>
        </w:tc>
        <w:tc>
          <w:tcPr>
            <w:tcW w:w="60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rPr>
                <w:rFonts w:ascii="宋体" w:hAnsi="宋体"/>
                <w:szCs w:val="21"/>
              </w:rPr>
            </w:pPr>
            <w:r>
              <w:rPr>
                <w:rFonts w:hint="eastAsia" w:ascii="宋体" w:hAnsi="宋体"/>
                <w:szCs w:val="21"/>
              </w:rPr>
              <w:t>按要求学习音乐课程，主动配合老师完成各项艺术活动，能与他人合作表现。</w:t>
            </w:r>
          </w:p>
        </w:tc>
        <w:tc>
          <w:tcPr>
            <w:tcW w:w="5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jc w:val="center"/>
              <w:rPr>
                <w:rFonts w:ascii="宋体" w:hAnsi="宋体"/>
                <w:szCs w:val="21"/>
              </w:rPr>
            </w:pPr>
            <w:r>
              <w:rPr>
                <w:rFonts w:hint="eastAsia" w:ascii="宋体" w:hAnsi="宋体"/>
                <w:szCs w:val="21"/>
              </w:rPr>
              <w:t>30</w:t>
            </w:r>
          </w:p>
        </w:tc>
        <w:tc>
          <w:tcPr>
            <w:tcW w:w="5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c>
          <w:tcPr>
            <w:tcW w:w="5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34" w:type="dxa"/>
            <w:vMerge w:val="continue"/>
            <w:tcBorders>
              <w:top w:val="nil"/>
              <w:left w:val="single" w:color="auto" w:sz="4" w:space="0"/>
              <w:bottom w:val="single" w:color="auto" w:sz="4" w:space="0"/>
              <w:right w:val="single" w:color="auto" w:sz="4" w:space="0"/>
            </w:tcBorders>
            <w:noWrap w:val="0"/>
            <w:vAlign w:val="center"/>
          </w:tcPr>
          <w:p>
            <w:pPr>
              <w:widowControl/>
              <w:spacing w:line="290" w:lineRule="exact"/>
              <w:ind w:left="21" w:leftChars="10" w:right="21" w:rightChars="10"/>
              <w:jc w:val="center"/>
              <w:rPr>
                <w:rFonts w:ascii="宋体" w:hAnsi="宋体"/>
                <w:szCs w:val="21"/>
              </w:rPr>
            </w:pPr>
          </w:p>
        </w:tc>
        <w:tc>
          <w:tcPr>
            <w:tcW w:w="60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rPr>
                <w:rFonts w:ascii="宋体" w:hAnsi="宋体"/>
                <w:szCs w:val="21"/>
              </w:rPr>
            </w:pPr>
            <w:r>
              <w:rPr>
                <w:rFonts w:hint="eastAsia" w:ascii="宋体" w:hAnsi="宋体"/>
                <w:szCs w:val="21"/>
              </w:rPr>
              <w:t>基本按要求学习音乐课程，在老师督促下完成各项艺术活动及与他人合作的表现。</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jc w:val="center"/>
              <w:rPr>
                <w:rFonts w:ascii="宋体" w:hAnsi="宋体"/>
                <w:szCs w:val="21"/>
              </w:rPr>
            </w:pPr>
            <w:r>
              <w:rPr>
                <w:rFonts w:hint="eastAsia" w:ascii="宋体" w:hAnsi="宋体"/>
                <w:szCs w:val="21"/>
              </w:rPr>
              <w:t>20</w:t>
            </w:r>
          </w:p>
        </w:tc>
        <w:tc>
          <w:tcPr>
            <w:tcW w:w="53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c>
          <w:tcPr>
            <w:tcW w:w="5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34" w:type="dxa"/>
            <w:vMerge w:val="continue"/>
            <w:tcBorders>
              <w:top w:val="nil"/>
              <w:left w:val="single" w:color="auto" w:sz="4" w:space="0"/>
              <w:bottom w:val="single" w:color="auto" w:sz="4" w:space="0"/>
              <w:right w:val="single" w:color="auto" w:sz="4" w:space="0"/>
            </w:tcBorders>
            <w:noWrap w:val="0"/>
            <w:vAlign w:val="center"/>
          </w:tcPr>
          <w:p>
            <w:pPr>
              <w:widowControl/>
              <w:spacing w:line="290" w:lineRule="exact"/>
              <w:ind w:left="21" w:leftChars="10" w:right="21" w:rightChars="10"/>
              <w:jc w:val="center"/>
              <w:rPr>
                <w:rFonts w:ascii="宋体" w:hAnsi="宋体"/>
                <w:szCs w:val="21"/>
              </w:rPr>
            </w:pPr>
          </w:p>
        </w:tc>
        <w:tc>
          <w:tcPr>
            <w:tcW w:w="60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rPr>
                <w:rFonts w:ascii="宋体" w:hAnsi="宋体"/>
                <w:szCs w:val="21"/>
              </w:rPr>
            </w:pPr>
            <w:r>
              <w:rPr>
                <w:rFonts w:hint="eastAsia" w:ascii="宋体" w:hAnsi="宋体"/>
                <w:szCs w:val="21"/>
              </w:rPr>
              <w:t>态度不是很认真，比较马虎应付。</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jc w:val="center"/>
              <w:rPr>
                <w:rFonts w:ascii="宋体" w:hAnsi="宋体"/>
                <w:szCs w:val="21"/>
              </w:rPr>
            </w:pPr>
            <w:r>
              <w:rPr>
                <w:rFonts w:hint="eastAsia" w:ascii="宋体" w:hAnsi="宋体"/>
                <w:szCs w:val="21"/>
              </w:rPr>
              <w:t>10</w:t>
            </w:r>
          </w:p>
        </w:tc>
        <w:tc>
          <w:tcPr>
            <w:tcW w:w="53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c>
          <w:tcPr>
            <w:tcW w:w="5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34" w:type="dxa"/>
            <w:vMerge w:val="continue"/>
            <w:tcBorders>
              <w:top w:val="nil"/>
              <w:left w:val="single" w:color="auto" w:sz="4" w:space="0"/>
              <w:bottom w:val="single" w:color="auto" w:sz="4" w:space="0"/>
              <w:right w:val="single" w:color="auto" w:sz="4" w:space="0"/>
            </w:tcBorders>
            <w:noWrap w:val="0"/>
            <w:vAlign w:val="center"/>
          </w:tcPr>
          <w:p>
            <w:pPr>
              <w:widowControl/>
              <w:spacing w:line="290" w:lineRule="exact"/>
              <w:ind w:left="21" w:leftChars="10" w:right="21" w:rightChars="10"/>
              <w:jc w:val="center"/>
              <w:rPr>
                <w:rFonts w:ascii="宋体" w:hAnsi="宋体"/>
                <w:szCs w:val="21"/>
              </w:rPr>
            </w:pPr>
          </w:p>
        </w:tc>
        <w:tc>
          <w:tcPr>
            <w:tcW w:w="60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rPr>
                <w:rFonts w:ascii="宋体" w:hAnsi="宋体"/>
                <w:szCs w:val="21"/>
              </w:rPr>
            </w:pPr>
            <w:r>
              <w:rPr>
                <w:rFonts w:hint="eastAsia" w:ascii="宋体" w:hAnsi="宋体"/>
                <w:szCs w:val="21"/>
              </w:rPr>
              <w:t>态度不认真，不配合，不参与。</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jc w:val="center"/>
              <w:rPr>
                <w:rFonts w:ascii="宋体" w:hAnsi="宋体"/>
                <w:szCs w:val="21"/>
              </w:rPr>
            </w:pPr>
            <w:r>
              <w:rPr>
                <w:rFonts w:hint="eastAsia" w:ascii="宋体" w:hAnsi="宋体"/>
                <w:szCs w:val="21"/>
              </w:rPr>
              <w:t>0</w:t>
            </w:r>
          </w:p>
        </w:tc>
        <w:tc>
          <w:tcPr>
            <w:tcW w:w="53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c>
          <w:tcPr>
            <w:tcW w:w="5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90" w:lineRule="exact"/>
              <w:ind w:left="21" w:leftChars="10" w:right="21" w:rightChars="10"/>
              <w:jc w:val="center"/>
              <w:rPr>
                <w:rFonts w:ascii="宋体" w:hAnsi="宋体"/>
                <w:szCs w:val="21"/>
              </w:rPr>
            </w:pPr>
            <w:r>
              <w:rPr>
                <w:rFonts w:hint="eastAsia" w:ascii="宋体" w:hAnsi="宋体"/>
                <w:szCs w:val="21"/>
              </w:rPr>
              <w:t>音乐实践</w:t>
            </w:r>
          </w:p>
          <w:p>
            <w:pPr>
              <w:spacing w:line="290" w:lineRule="exact"/>
              <w:ind w:left="21" w:leftChars="10" w:right="21" w:rightChars="10"/>
              <w:jc w:val="center"/>
              <w:rPr>
                <w:rFonts w:ascii="宋体" w:hAnsi="宋体"/>
                <w:szCs w:val="21"/>
              </w:rPr>
            </w:pPr>
            <w:r>
              <w:rPr>
                <w:rFonts w:hint="eastAsia" w:ascii="宋体" w:hAnsi="宋体"/>
                <w:szCs w:val="21"/>
              </w:rPr>
              <w:t>（30分）</w:t>
            </w:r>
          </w:p>
        </w:tc>
        <w:tc>
          <w:tcPr>
            <w:tcW w:w="60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rPr>
                <w:rFonts w:ascii="宋体" w:hAnsi="宋体"/>
                <w:szCs w:val="21"/>
              </w:rPr>
            </w:pPr>
            <w:r>
              <w:rPr>
                <w:rFonts w:hint="eastAsia" w:ascii="宋体" w:hAnsi="宋体"/>
                <w:szCs w:val="21"/>
              </w:rPr>
              <w:t>*参加由学校组织的校内外艺术实践活动2次以上（含2次）。</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jc w:val="center"/>
              <w:rPr>
                <w:rFonts w:ascii="宋体" w:hAnsi="宋体"/>
                <w:szCs w:val="21"/>
              </w:rPr>
            </w:pPr>
            <w:r>
              <w:rPr>
                <w:rFonts w:hint="eastAsia" w:ascii="宋体" w:hAnsi="宋体"/>
                <w:szCs w:val="21"/>
              </w:rPr>
              <w:t>30</w:t>
            </w:r>
          </w:p>
        </w:tc>
        <w:tc>
          <w:tcPr>
            <w:tcW w:w="53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c>
          <w:tcPr>
            <w:tcW w:w="5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ind w:left="21" w:leftChars="10" w:right="21" w:rightChars="10"/>
              <w:jc w:val="center"/>
              <w:rPr>
                <w:rFonts w:ascii="宋体" w:hAnsi="宋体"/>
                <w:szCs w:val="21"/>
              </w:rPr>
            </w:pPr>
          </w:p>
        </w:tc>
        <w:tc>
          <w:tcPr>
            <w:tcW w:w="60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rPr>
                <w:rFonts w:ascii="宋体" w:hAnsi="宋体"/>
                <w:szCs w:val="21"/>
              </w:rPr>
            </w:pPr>
            <w:r>
              <w:rPr>
                <w:rFonts w:hint="eastAsia" w:ascii="宋体" w:hAnsi="宋体"/>
                <w:szCs w:val="21"/>
              </w:rPr>
              <w:t>*参加由学校组织的校内外艺术实践活动1次以上（含1次）。</w:t>
            </w:r>
          </w:p>
        </w:tc>
        <w:tc>
          <w:tcPr>
            <w:tcW w:w="50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jc w:val="center"/>
              <w:rPr>
                <w:rFonts w:ascii="宋体" w:hAnsi="宋体"/>
                <w:szCs w:val="21"/>
              </w:rPr>
            </w:pPr>
            <w:r>
              <w:rPr>
                <w:rFonts w:hint="eastAsia" w:ascii="宋体" w:hAnsi="宋体"/>
                <w:szCs w:val="21"/>
              </w:rPr>
              <w:t>15</w:t>
            </w:r>
          </w:p>
        </w:tc>
        <w:tc>
          <w:tcPr>
            <w:tcW w:w="53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c>
          <w:tcPr>
            <w:tcW w:w="50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ind w:left="21" w:leftChars="10" w:right="21" w:rightChars="10"/>
              <w:jc w:val="center"/>
              <w:rPr>
                <w:rFonts w:ascii="宋体" w:hAnsi="宋体"/>
                <w:szCs w:val="21"/>
              </w:rPr>
            </w:pPr>
          </w:p>
        </w:tc>
        <w:tc>
          <w:tcPr>
            <w:tcW w:w="60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rPr>
                <w:rFonts w:ascii="宋体" w:hAnsi="宋体"/>
                <w:szCs w:val="21"/>
              </w:rPr>
            </w:pPr>
            <w:r>
              <w:rPr>
                <w:rFonts w:hint="eastAsia" w:ascii="宋体" w:hAnsi="宋体"/>
                <w:szCs w:val="21"/>
              </w:rPr>
              <w:t>无参加校内音乐类活动及校外音乐类活动的经历。</w:t>
            </w:r>
          </w:p>
        </w:tc>
        <w:tc>
          <w:tcPr>
            <w:tcW w:w="5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jc w:val="center"/>
              <w:rPr>
                <w:rFonts w:ascii="宋体" w:hAnsi="宋体"/>
                <w:szCs w:val="21"/>
              </w:rPr>
            </w:pPr>
            <w:r>
              <w:rPr>
                <w:rFonts w:hint="eastAsia" w:ascii="宋体" w:hAnsi="宋体"/>
                <w:szCs w:val="21"/>
              </w:rPr>
              <w:t>0</w:t>
            </w:r>
          </w:p>
        </w:tc>
        <w:tc>
          <w:tcPr>
            <w:tcW w:w="5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c>
          <w:tcPr>
            <w:tcW w:w="5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szCs w:val="21"/>
              </w:rPr>
            </w:pPr>
            <w:r>
              <w:rPr>
                <w:rFonts w:hint="eastAsia" w:ascii="宋体" w:hAnsi="宋体"/>
                <w:szCs w:val="21"/>
              </w:rPr>
              <w:t>总分值</w:t>
            </w:r>
          </w:p>
          <w:p>
            <w:pPr>
              <w:widowControl/>
              <w:spacing w:line="290" w:lineRule="exact"/>
              <w:jc w:val="center"/>
              <w:rPr>
                <w:rFonts w:ascii="宋体" w:hAnsi="宋体"/>
                <w:szCs w:val="21"/>
              </w:rPr>
            </w:pPr>
            <w:r>
              <w:rPr>
                <w:rFonts w:hint="eastAsia" w:ascii="宋体" w:hAnsi="宋体"/>
                <w:szCs w:val="21"/>
              </w:rPr>
              <w:t>（100分）</w:t>
            </w:r>
          </w:p>
        </w:tc>
        <w:tc>
          <w:tcPr>
            <w:tcW w:w="60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90" w:lineRule="exact"/>
              <w:jc w:val="center"/>
              <w:rPr>
                <w:rFonts w:hint="eastAsia" w:ascii="宋体" w:hAnsi="宋体"/>
                <w:szCs w:val="21"/>
              </w:rPr>
            </w:pPr>
          </w:p>
        </w:tc>
        <w:tc>
          <w:tcPr>
            <w:tcW w:w="50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90" w:lineRule="exact"/>
              <w:ind w:left="21" w:leftChars="10" w:right="21" w:rightChars="10"/>
              <w:jc w:val="center"/>
              <w:rPr>
                <w:rFonts w:hint="eastAsia" w:ascii="宋体" w:hAnsi="宋体"/>
                <w:szCs w:val="21"/>
              </w:rPr>
            </w:pPr>
          </w:p>
        </w:tc>
        <w:tc>
          <w:tcPr>
            <w:tcW w:w="53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c>
          <w:tcPr>
            <w:tcW w:w="50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rPr>
                <w:rFonts w:ascii="宋体" w:hAnsi="宋体"/>
                <w:szCs w:val="21"/>
              </w:rPr>
            </w:pPr>
          </w:p>
        </w:tc>
      </w:tr>
    </w:tbl>
    <w:p>
      <w:pPr>
        <w:spacing w:before="120" w:beforeLines="50" w:line="300" w:lineRule="atLeast"/>
        <w:ind w:left="735" w:hanging="735" w:hangingChars="350"/>
        <w:rPr>
          <w:rFonts w:hint="eastAsia" w:ascii="楷体_GB2312" w:hAnsi="宋体" w:eastAsia="楷体_GB2312"/>
          <w:szCs w:val="21"/>
        </w:rPr>
      </w:pPr>
      <w:r>
        <w:rPr>
          <w:rFonts w:hint="eastAsia" w:ascii="楷体_GB2312" w:hAnsi="宋体" w:eastAsia="楷体_GB2312"/>
          <w:szCs w:val="21"/>
        </w:rPr>
        <w:t>说明：</w:t>
      </w:r>
      <w:r>
        <w:rPr>
          <w:rFonts w:hint="eastAsia" w:ascii="楷体_GB2312" w:hAnsi="宋体" w:eastAsia="楷体_GB2312"/>
          <w:bCs/>
          <w:szCs w:val="21"/>
        </w:rPr>
        <w:t>*</w:t>
      </w:r>
      <w:r>
        <w:rPr>
          <w:rFonts w:hint="eastAsia" w:ascii="楷体_GB2312" w:hAnsi="宋体" w:eastAsia="楷体_GB2312"/>
          <w:szCs w:val="21"/>
        </w:rPr>
        <w:t>校内音乐活动包括：由学校组织的艺术节、各类文艺演出及展示，或组织学生外出观摩文艺演出、参加社区艺术活动等。</w:t>
      </w:r>
    </w:p>
    <w:p>
      <w:pPr>
        <w:spacing w:line="300" w:lineRule="atLeast"/>
        <w:ind w:firstLine="630" w:firstLineChars="300"/>
        <w:rPr>
          <w:rFonts w:hint="eastAsia" w:ascii="楷体_GB2312" w:hAnsi="宋体" w:eastAsia="楷体_GB2312"/>
          <w:szCs w:val="21"/>
        </w:rPr>
      </w:pPr>
      <w:r>
        <w:rPr>
          <w:rFonts w:hint="eastAsia" w:ascii="楷体_GB2312" w:hAnsi="宋体" w:eastAsia="楷体_GB2312"/>
          <w:bCs/>
          <w:szCs w:val="21"/>
        </w:rPr>
        <w:t>*</w:t>
      </w:r>
      <w:r>
        <w:rPr>
          <w:rFonts w:hint="eastAsia" w:ascii="楷体_GB2312" w:hAnsi="宋体" w:eastAsia="楷体_GB2312"/>
          <w:szCs w:val="21"/>
        </w:rPr>
        <w:t>校外音乐类活动：由各级教育行政部门组织的校外艺术展演。</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94A81"/>
    <w:rsid w:val="61F94A81"/>
    <w:rsid w:val="690108EE"/>
    <w:rsid w:val="763A6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Times New Roman" w:hAnsi="Times New Roman"/>
      <w:kern w:val="0"/>
      <w:sz w:val="24"/>
      <w:szCs w:val="24"/>
    </w:rPr>
  </w:style>
  <w:style w:type="paragraph" w:customStyle="1" w:styleId="5">
    <w:name w:val="列出段落3"/>
    <w:basedOn w:val="1"/>
    <w:uiPriority w:val="0"/>
    <w:pPr>
      <w:ind w:firstLine="420" w:firstLineChars="200"/>
    </w:pPr>
    <w:rPr>
      <w:rFonts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2020-12-07T08:14:00Z</dcterms:created>
  <dc:creator>Jus</dc:creator>
  <cp:lastModifiedBy>Jus</cp:lastModifiedBy>
  <dcterms:modified xsi:type="dcterms:W3CDTF">2020-12-07T08:17:56Z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