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eastAsia="zh-CN"/>
        </w:rPr>
        <w:t>附件</w:t>
      </w:r>
      <w:r>
        <w:rPr>
          <w:rFonts w:hint="eastAsia" w:ascii="黑体" w:hAnsi="黑体" w:eastAsia="黑体" w:cs="黑体"/>
          <w:color w:val="000000" w:themeColor="text1"/>
          <w:sz w:val="32"/>
          <w:szCs w:val="32"/>
          <w:lang w:val="en-US" w:eastAsia="zh-CN"/>
        </w:rPr>
        <w:t>4</w:t>
      </w:r>
    </w:p>
    <w:p>
      <w:pPr>
        <w:adjustRightInd w:val="0"/>
        <w:snapToGrid w:val="0"/>
        <w:spacing w:line="580" w:lineRule="exact"/>
        <w:jc w:val="left"/>
        <w:rPr>
          <w:rFonts w:hint="eastAsia" w:ascii="黑体" w:hAnsi="黑体" w:eastAsia="黑体" w:cs="黑体"/>
          <w:color w:val="000000" w:themeColor="text1"/>
          <w:sz w:val="32"/>
          <w:szCs w:val="32"/>
          <w:lang w:val="en-US" w:eastAsia="zh-CN"/>
        </w:rPr>
      </w:pPr>
    </w:p>
    <w:p>
      <w:pPr>
        <w:adjustRightInd w:val="0"/>
        <w:snapToGrid w:val="0"/>
        <w:spacing w:line="580" w:lineRule="exact"/>
        <w:jc w:val="center"/>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rPr>
        <w:t>深圳市普通高中信息技术学业水平考试</w:t>
      </w:r>
    </w:p>
    <w:p>
      <w:pPr>
        <w:adjustRightInd w:val="0"/>
        <w:snapToGrid w:val="0"/>
        <w:spacing w:line="580" w:lineRule="exact"/>
        <w:jc w:val="center"/>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rPr>
        <w:t>实施方案</w:t>
      </w:r>
    </w:p>
    <w:p>
      <w:pPr>
        <w:adjustRightInd w:val="0"/>
        <w:snapToGrid w:val="0"/>
        <w:spacing w:line="580" w:lineRule="exact"/>
        <w:jc w:val="center"/>
        <w:rPr>
          <w:rFonts w:ascii="方正小标宋简体" w:hAnsi="黑体" w:eastAsia="方正小标宋简体"/>
          <w:color w:val="000000" w:themeColor="text1"/>
          <w:sz w:val="44"/>
          <w:szCs w:val="44"/>
        </w:rPr>
      </w:pPr>
    </w:p>
    <w:p>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贯彻落实《广东省教育厅关于印发广东省普通高中学业水平考试实施办法的通知》（粤教考〔2019〕18号）《广东省教育厅关于普通高中体育与健康等科目学业水平考试工作的指导意见》（粤教考〔2019〕19号）精神，依据《普通高中信息技术学科课程标准（2017年版2020年修订）》，结合我市实际，制定本实施方案。</w:t>
      </w:r>
    </w:p>
    <w:p>
      <w:pPr>
        <w:widowControl/>
        <w:shd w:val="clear" w:color="auto" w:fill="FFFFFF"/>
        <w:adjustRightInd w:val="0"/>
        <w:snapToGrid w:val="0"/>
        <w:spacing w:line="580" w:lineRule="exact"/>
        <w:ind w:firstLine="641"/>
        <w:jc w:val="left"/>
        <w:outlineLvl w:val="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一、指导思想</w:t>
      </w:r>
    </w:p>
    <w:p>
      <w:pPr>
        <w:spacing w:line="580" w:lineRule="exact"/>
        <w:ind w:firstLine="640" w:firstLineChars="200"/>
        <w:rPr>
          <w:rFonts w:hAnsi="宋体" w:eastAsia="仿宋_GB2312"/>
          <w:color w:val="000000" w:themeColor="text1"/>
          <w:kern w:val="0"/>
          <w:sz w:val="32"/>
          <w:szCs w:val="32"/>
        </w:rPr>
      </w:pPr>
      <w:r>
        <w:rPr>
          <w:rFonts w:hint="eastAsia" w:hAnsi="宋体" w:eastAsia="仿宋_GB2312"/>
          <w:color w:val="000000" w:themeColor="text1"/>
          <w:kern w:val="0"/>
          <w:sz w:val="32"/>
          <w:szCs w:val="32"/>
        </w:rPr>
        <w:t>全面贯彻党的教育方针</w:t>
      </w:r>
      <w:r>
        <w:rPr>
          <w:rFonts w:hint="eastAsia" w:ascii="仿宋_GB2312" w:hAnsi="宋体" w:eastAsia="仿宋_GB2312"/>
          <w:color w:val="000000" w:themeColor="text1"/>
          <w:sz w:val="32"/>
          <w:szCs w:val="32"/>
        </w:rPr>
        <w:t>和《中共中央、国务院关于支持深圳建设中国特色社会主义先行示范区的意见》精神</w:t>
      </w:r>
      <w:r>
        <w:rPr>
          <w:rFonts w:hAnsi="宋体" w:eastAsia="仿宋_GB2312"/>
          <w:color w:val="000000" w:themeColor="text1"/>
          <w:kern w:val="0"/>
          <w:sz w:val="32"/>
          <w:szCs w:val="32"/>
        </w:rPr>
        <w:t xml:space="preserve"> </w:t>
      </w:r>
      <w:r>
        <w:rPr>
          <w:rFonts w:hint="eastAsia" w:hAnsi="宋体" w:eastAsia="仿宋_GB2312"/>
          <w:color w:val="000000" w:themeColor="text1"/>
          <w:kern w:val="0"/>
          <w:sz w:val="32"/>
          <w:szCs w:val="32"/>
        </w:rPr>
        <w:t>，深化素质教育，坚持立德树人，遵循人才培养和选拔规律，落实课程标准和课程方案，培养学生</w:t>
      </w:r>
      <w:r>
        <w:rPr>
          <w:rFonts w:hint="eastAsia" w:ascii="仿宋_GB2312" w:hAnsi="宋体" w:eastAsia="仿宋_GB2312"/>
          <w:color w:val="000000" w:themeColor="text1"/>
          <w:kern w:val="0"/>
          <w:sz w:val="32"/>
          <w:szCs w:val="32"/>
        </w:rPr>
        <w:t>信息意识、计算思维、数字化学习与创新、信息社会责任等核心素养与实践能力，</w:t>
      </w:r>
      <w:r>
        <w:rPr>
          <w:rFonts w:hint="eastAsia" w:hAnsi="宋体" w:eastAsia="仿宋_GB2312"/>
          <w:color w:val="000000" w:themeColor="text1"/>
          <w:kern w:val="0"/>
          <w:sz w:val="32"/>
          <w:szCs w:val="32"/>
        </w:rPr>
        <w:t>促进学生全面有个性的发展。</w:t>
      </w:r>
    </w:p>
    <w:p>
      <w:pPr>
        <w:widowControl/>
        <w:adjustRightInd w:val="0"/>
        <w:snapToGrid w:val="0"/>
        <w:spacing w:line="580" w:lineRule="exact"/>
        <w:ind w:firstLine="640" w:firstLineChars="200"/>
        <w:jc w:val="left"/>
        <w:outlineLvl w:val="0"/>
        <w:rPr>
          <w:rFonts w:ascii="楷体_GB2312" w:hAnsi="楷体_GB2312" w:eastAsia="楷体_GB2312" w:cs="楷体_GB2312"/>
          <w:b/>
          <w:bCs/>
          <w:color w:val="000000" w:themeColor="text1"/>
          <w:kern w:val="0"/>
          <w:sz w:val="32"/>
          <w:szCs w:val="32"/>
        </w:rPr>
      </w:pPr>
      <w:r>
        <w:rPr>
          <w:rFonts w:hint="eastAsia" w:ascii="黑体" w:hAnsi="黑体" w:eastAsia="黑体"/>
          <w:color w:val="000000" w:themeColor="text1"/>
          <w:kern w:val="0"/>
          <w:sz w:val="32"/>
          <w:szCs w:val="32"/>
        </w:rPr>
        <w:t>二、基本原则</w:t>
      </w:r>
    </w:p>
    <w:p>
      <w:pPr>
        <w:widowControl/>
        <w:adjustRightInd w:val="0"/>
        <w:snapToGrid w:val="0"/>
        <w:spacing w:line="580" w:lineRule="exact"/>
        <w:ind w:firstLine="643" w:firstLineChars="200"/>
        <w:jc w:val="left"/>
        <w:outlineLvl w:val="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（一）实践性原则</w:t>
      </w:r>
    </w:p>
    <w:p>
      <w:pPr>
        <w:widowControl/>
        <w:adjustRightInd w:val="0"/>
        <w:snapToGrid w:val="0"/>
        <w:spacing w:line="580" w:lineRule="exact"/>
        <w:ind w:firstLine="640" w:firstLineChars="200"/>
        <w:jc w:val="left"/>
        <w:outlineLvl w:val="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kern w:val="0"/>
          <w:sz w:val="32"/>
          <w:szCs w:val="32"/>
        </w:rPr>
        <w:t>立足实践，注重理论与实践相结合，突出学科核心素养，培养学生探究能力、创新能力和实践应用能力。</w:t>
      </w:r>
    </w:p>
    <w:p>
      <w:pPr>
        <w:widowControl w:val="0"/>
        <w:adjustRightInd w:val="0"/>
        <w:snapToGrid w:val="0"/>
        <w:spacing w:line="580" w:lineRule="exact"/>
        <w:ind w:firstLine="643" w:firstLineChars="200"/>
        <w:jc w:val="left"/>
        <w:outlineLvl w:val="0"/>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（二）过程性原则</w:t>
      </w:r>
    </w:p>
    <w:p>
      <w:pPr>
        <w:widowControl w:val="0"/>
        <w:adjustRightInd w:val="0"/>
        <w:snapToGrid w:val="0"/>
        <w:spacing w:line="580" w:lineRule="exact"/>
        <w:ind w:firstLine="640" w:firstLineChars="200"/>
        <w:jc w:val="left"/>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坚持过程性评价，关注学生在知识、方法、态度方面的发展情况，注重学生学科思维的形成和发展。</w:t>
      </w:r>
    </w:p>
    <w:p>
      <w:pPr>
        <w:widowControl/>
        <w:adjustRightInd w:val="0"/>
        <w:snapToGrid w:val="0"/>
        <w:spacing w:line="580" w:lineRule="exact"/>
        <w:ind w:firstLine="643" w:firstLineChars="200"/>
        <w:jc w:val="left"/>
        <w:outlineLvl w:val="0"/>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（三）公平性原则</w:t>
      </w:r>
    </w:p>
    <w:p>
      <w:pPr>
        <w:widowControl/>
        <w:shd w:val="clear" w:color="auto" w:fill="FFFFFF"/>
        <w:adjustRightInd w:val="0"/>
        <w:snapToGrid w:val="0"/>
        <w:spacing w:line="580" w:lineRule="exact"/>
        <w:ind w:firstLine="640" w:firstLineChars="2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坚持公平公正，考试标准公开、程序规范、结果公正，主动接受监督。</w:t>
      </w:r>
    </w:p>
    <w:p>
      <w:pPr>
        <w:adjustRightInd w:val="0"/>
        <w:snapToGrid w:val="0"/>
        <w:spacing w:line="580" w:lineRule="exact"/>
        <w:ind w:firstLine="640" w:firstLineChars="200"/>
        <w:outlineLvl w:val="0"/>
        <w:rPr>
          <w:rFonts w:hAnsi="宋体" w:eastAsia="黑体"/>
          <w:bCs/>
          <w:color w:val="000000" w:themeColor="text1"/>
          <w:kern w:val="0"/>
          <w:sz w:val="32"/>
          <w:szCs w:val="32"/>
        </w:rPr>
      </w:pPr>
      <w:r>
        <w:rPr>
          <w:rFonts w:hint="eastAsia" w:hAnsi="宋体" w:eastAsia="黑体"/>
          <w:bCs/>
          <w:color w:val="000000" w:themeColor="text1"/>
          <w:kern w:val="0"/>
          <w:sz w:val="32"/>
          <w:szCs w:val="32"/>
        </w:rPr>
        <w:t>三、考试内容和方式</w:t>
      </w:r>
    </w:p>
    <w:p>
      <w:pPr>
        <w:widowControl/>
        <w:shd w:val="clear" w:color="auto" w:fill="auto"/>
        <w:adjustRightInd w:val="0"/>
        <w:snapToGrid w:val="0"/>
        <w:spacing w:line="580" w:lineRule="exact"/>
        <w:ind w:firstLine="643" w:firstLineChars="200"/>
        <w:jc w:val="left"/>
        <w:outlineLvl w:val="0"/>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（一）考试内容</w:t>
      </w:r>
    </w:p>
    <w:p>
      <w:pPr>
        <w:widowControl/>
        <w:shd w:val="clear" w:color="auto" w:fill="FFFFFF"/>
        <w:adjustRightInd w:val="0"/>
        <w:snapToGrid w:val="0"/>
        <w:spacing w:line="580" w:lineRule="exact"/>
        <w:ind w:firstLine="640"/>
        <w:jc w:val="left"/>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根据《普通高中信息技术课程标准（2017年版2020年修订）》的要求及深圳实际，围绕高中信息技术必修课程和学生所学具体教材内容，规范组织考试命题工作，对考生进行基础知识测试和操作能力评定。</w:t>
      </w:r>
    </w:p>
    <w:p>
      <w:pPr>
        <w:widowControl/>
        <w:numPr>
          <w:ilvl w:val="-1"/>
          <w:numId w:val="0"/>
        </w:numPr>
        <w:shd w:val="clear" w:color="auto" w:fill="auto"/>
        <w:adjustRightInd w:val="0"/>
        <w:snapToGrid w:val="0"/>
        <w:spacing w:line="580" w:lineRule="exact"/>
        <w:ind w:firstLine="643" w:firstLineChars="200"/>
        <w:jc w:val="left"/>
        <w:outlineLvl w:val="0"/>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lang w:eastAsia="zh-CN"/>
        </w:rPr>
        <w:t>（</w:t>
      </w:r>
      <w:r>
        <w:rPr>
          <w:rFonts w:hint="eastAsia" w:ascii="楷体_GB2312" w:hAnsi="楷体_GB2312" w:eastAsia="楷体_GB2312" w:cs="楷体_GB2312"/>
          <w:b/>
          <w:bCs w:val="0"/>
          <w:color w:val="000000" w:themeColor="text1"/>
          <w:kern w:val="0"/>
          <w:sz w:val="32"/>
          <w:szCs w:val="32"/>
          <w:lang w:val="en-US" w:eastAsia="zh-CN"/>
        </w:rPr>
        <w:t>二</w:t>
      </w:r>
      <w:r>
        <w:rPr>
          <w:rFonts w:hint="eastAsia" w:ascii="楷体_GB2312" w:hAnsi="楷体_GB2312" w:eastAsia="楷体_GB2312" w:cs="楷体_GB2312"/>
          <w:b/>
          <w:bCs w:val="0"/>
          <w:color w:val="000000" w:themeColor="text1"/>
          <w:kern w:val="0"/>
          <w:sz w:val="32"/>
          <w:szCs w:val="32"/>
          <w:lang w:eastAsia="zh-CN"/>
        </w:rPr>
        <w:t>）</w:t>
      </w:r>
      <w:r>
        <w:rPr>
          <w:rFonts w:hint="eastAsia" w:ascii="楷体_GB2312" w:hAnsi="楷体_GB2312" w:eastAsia="楷体_GB2312" w:cs="楷体_GB2312"/>
          <w:b/>
          <w:bCs w:val="0"/>
          <w:color w:val="000000" w:themeColor="text1"/>
          <w:kern w:val="0"/>
          <w:sz w:val="32"/>
          <w:szCs w:val="32"/>
        </w:rPr>
        <w:t>考试方式</w:t>
      </w:r>
    </w:p>
    <w:p>
      <w:pPr>
        <w:pStyle w:val="12"/>
        <w:spacing w:line="580" w:lineRule="exact"/>
        <w:ind w:firstLine="640"/>
        <w:rPr>
          <w:rFonts w:ascii="仿宋_GB2312" w:hAnsi="仿宋_GB2312" w:eastAsia="仿宋_GB2312" w:cs="仿宋_GB2312"/>
          <w:color w:val="000000" w:themeColor="text1"/>
          <w:sz w:val="32"/>
          <w:szCs w:val="32"/>
        </w:rPr>
      </w:pPr>
      <w:r>
        <w:rPr>
          <w:rFonts w:hint="eastAsia" w:ascii="仿宋_GB2312" w:hAnsi="宋体" w:eastAsia="仿宋_GB2312"/>
          <w:color w:val="000000" w:themeColor="text1"/>
          <w:kern w:val="0"/>
          <w:sz w:val="32"/>
          <w:szCs w:val="32"/>
        </w:rPr>
        <w:t>普通高中信息技术学业水平考试由过程性评价和终结性测试两部分构成。过程性评价主要由出勤率、课堂综合表现、信息技术学科实践活动和阶段性评价四个方面组成。终结性测试部分采用</w:t>
      </w:r>
      <w:r>
        <w:rPr>
          <w:rFonts w:hint="eastAsia" w:ascii="仿宋_GB2312" w:hAnsi="仿宋_GB2312" w:eastAsia="仿宋_GB2312" w:cs="仿宋_GB2312"/>
          <w:color w:val="000000" w:themeColor="text1"/>
          <w:kern w:val="0"/>
          <w:sz w:val="32"/>
          <w:szCs w:val="32"/>
        </w:rPr>
        <w:t>纸笔测试（或上机测试）</w:t>
      </w:r>
      <w:r>
        <w:rPr>
          <w:rFonts w:hint="eastAsia" w:ascii="仿宋_GB2312" w:hAnsi="宋体" w:eastAsia="仿宋_GB2312"/>
          <w:color w:val="000000" w:themeColor="text1"/>
          <w:kern w:val="0"/>
          <w:sz w:val="32"/>
          <w:szCs w:val="32"/>
        </w:rPr>
        <w:t>的形式进行。</w:t>
      </w:r>
    </w:p>
    <w:p>
      <w:pPr>
        <w:adjustRightInd w:val="0"/>
        <w:snapToGrid w:val="0"/>
        <w:spacing w:line="580" w:lineRule="exact"/>
        <w:ind w:firstLine="640" w:firstLineChars="200"/>
        <w:outlineLvl w:val="0"/>
        <w:rPr>
          <w:rFonts w:hAnsi="宋体" w:eastAsia="黑体"/>
          <w:bCs/>
          <w:color w:val="000000" w:themeColor="text1"/>
          <w:kern w:val="0"/>
          <w:sz w:val="32"/>
          <w:szCs w:val="32"/>
        </w:rPr>
      </w:pPr>
      <w:r>
        <w:rPr>
          <w:rFonts w:hint="eastAsia" w:hAnsi="宋体" w:eastAsia="黑体"/>
          <w:bCs/>
          <w:color w:val="000000" w:themeColor="text1"/>
          <w:kern w:val="0"/>
          <w:sz w:val="32"/>
          <w:szCs w:val="32"/>
        </w:rPr>
        <w:t>四、考试对象和时间</w:t>
      </w:r>
    </w:p>
    <w:p>
      <w:pPr>
        <w:adjustRightInd w:val="0"/>
        <w:snapToGrid w:val="0"/>
        <w:spacing w:line="580" w:lineRule="exact"/>
        <w:ind w:firstLine="640" w:firstLineChars="200"/>
        <w:rPr>
          <w:rFonts w:hAnsi="宋体" w:eastAsia="仿宋_GB2312"/>
          <w:color w:val="000000" w:themeColor="text1"/>
          <w:kern w:val="0"/>
          <w:sz w:val="32"/>
          <w:szCs w:val="32"/>
        </w:rPr>
      </w:pPr>
      <w:r>
        <w:rPr>
          <w:rFonts w:hint="eastAsia" w:hAnsi="宋体" w:eastAsia="仿宋_GB2312"/>
          <w:color w:val="000000" w:themeColor="text1"/>
          <w:kern w:val="0"/>
          <w:sz w:val="32"/>
          <w:szCs w:val="32"/>
        </w:rPr>
        <w:t>具有普通高中学籍的在校学生和申请普通高中同等学力的人员均应参加普通高中信息技术科目学业水平考试。</w:t>
      </w:r>
    </w:p>
    <w:p>
      <w:pPr>
        <w:adjustRightInd w:val="0"/>
        <w:snapToGrid w:val="0"/>
        <w:spacing w:line="580" w:lineRule="exact"/>
        <w:ind w:firstLine="640" w:firstLineChars="200"/>
        <w:rPr>
          <w:rFonts w:hAnsi="宋体" w:eastAsia="仿宋_GB2312"/>
          <w:color w:val="000000" w:themeColor="text1"/>
          <w:kern w:val="0"/>
          <w:sz w:val="32"/>
          <w:szCs w:val="32"/>
        </w:rPr>
      </w:pPr>
      <w:r>
        <w:rPr>
          <w:rFonts w:hint="eastAsia" w:ascii="仿宋_GB2312" w:eastAsia="仿宋_GB2312"/>
          <w:color w:val="000000" w:themeColor="text1"/>
          <w:sz w:val="32"/>
          <w:szCs w:val="32"/>
        </w:rPr>
        <w:t>首次终结性测试安</w:t>
      </w:r>
      <w:r>
        <w:rPr>
          <w:rFonts w:hint="eastAsia" w:ascii="仿宋_GB2312" w:hAnsi="仿宋_GB2312" w:eastAsia="仿宋_GB2312" w:cs="仿宋_GB2312"/>
          <w:color w:val="000000" w:themeColor="text1"/>
          <w:sz w:val="32"/>
          <w:szCs w:val="32"/>
        </w:rPr>
        <w:t>排在第3学期末</w:t>
      </w:r>
      <w:r>
        <w:rPr>
          <w:rFonts w:hint="eastAsia" w:ascii="仿宋_GB2312" w:eastAsia="仿宋_GB2312"/>
          <w:color w:val="000000" w:themeColor="text1"/>
          <w:sz w:val="32"/>
          <w:szCs w:val="32"/>
        </w:rPr>
        <w:t>，</w:t>
      </w:r>
      <w:r>
        <w:rPr>
          <w:rFonts w:hint="eastAsia" w:ascii="仿宋_GB2312" w:hAnsi="仿宋_GB2312" w:eastAsia="仿宋_GB2312" w:cs="仿宋_GB2312"/>
          <w:color w:val="000000" w:themeColor="text1"/>
          <w:sz w:val="32"/>
          <w:szCs w:val="32"/>
        </w:rPr>
        <w:t>有特殊情况需补考的，与同下一学年度学生一起安排补考</w:t>
      </w:r>
      <w:r>
        <w:rPr>
          <w:rFonts w:hint="eastAsia" w:ascii="仿宋_GB2312" w:hAnsi="仿宋_GB2312" w:eastAsia="仿宋_GB2312" w:cs="仿宋_GB2312"/>
          <w:color w:val="000000" w:themeColor="text1"/>
          <w:kern w:val="0"/>
          <w:sz w:val="32"/>
          <w:szCs w:val="32"/>
        </w:rPr>
        <w:t>。过程性评价部分以学期为单位进行评价并向学生公布成绩，在课程内容学习结束后进行汇总作为学生</w:t>
      </w:r>
      <w:r>
        <w:rPr>
          <w:rFonts w:hint="eastAsia" w:hAnsi="宋体" w:eastAsia="仿宋_GB2312"/>
          <w:color w:val="000000" w:themeColor="text1"/>
          <w:kern w:val="0"/>
          <w:sz w:val="32"/>
          <w:szCs w:val="32"/>
        </w:rPr>
        <w:t>过程性评价部分的总成绩。</w:t>
      </w:r>
    </w:p>
    <w:p>
      <w:pPr>
        <w:adjustRightInd w:val="0"/>
        <w:snapToGrid w:val="0"/>
        <w:spacing w:line="580" w:lineRule="exact"/>
        <w:ind w:firstLine="640" w:firstLineChars="200"/>
        <w:rPr>
          <w:rFonts w:ascii="仿宋" w:hAnsi="仿宋" w:eastAsia="仿宋"/>
          <w:color w:val="000000" w:themeColor="text1"/>
          <w:kern w:val="0"/>
          <w:sz w:val="32"/>
          <w:szCs w:val="32"/>
        </w:rPr>
      </w:pPr>
      <w:r>
        <w:rPr>
          <w:rFonts w:hint="eastAsia" w:hAnsi="宋体" w:eastAsia="仿宋_GB2312"/>
          <w:color w:val="000000" w:themeColor="text1"/>
          <w:kern w:val="0"/>
          <w:sz w:val="32"/>
          <w:szCs w:val="32"/>
        </w:rPr>
        <w:t>申请同等学力人员只参加</w:t>
      </w:r>
      <w:r>
        <w:rPr>
          <w:rFonts w:hint="eastAsia" w:ascii="仿宋_GB2312" w:hAnsi="仿宋_GB2312" w:eastAsia="仿宋_GB2312" w:cs="仿宋_GB2312"/>
          <w:color w:val="000000" w:themeColor="text1"/>
          <w:kern w:val="0"/>
          <w:sz w:val="32"/>
          <w:szCs w:val="32"/>
        </w:rPr>
        <w:t>纸笔测试（或上机测试）</w:t>
      </w:r>
      <w:r>
        <w:rPr>
          <w:rFonts w:hint="eastAsia" w:hAnsi="宋体" w:eastAsia="仿宋_GB2312"/>
          <w:color w:val="000000" w:themeColor="text1"/>
          <w:kern w:val="0"/>
          <w:sz w:val="32"/>
          <w:szCs w:val="32"/>
        </w:rPr>
        <w:t>。</w:t>
      </w:r>
    </w:p>
    <w:p>
      <w:pPr>
        <w:adjustRightInd w:val="0"/>
        <w:snapToGrid w:val="0"/>
        <w:spacing w:line="580" w:lineRule="exact"/>
        <w:ind w:firstLine="640" w:firstLineChars="200"/>
        <w:outlineLvl w:val="0"/>
        <w:rPr>
          <w:rFonts w:hAnsi="宋体" w:eastAsia="黑体"/>
          <w:bCs/>
          <w:color w:val="000000" w:themeColor="text1"/>
          <w:kern w:val="0"/>
          <w:sz w:val="32"/>
          <w:szCs w:val="32"/>
        </w:rPr>
      </w:pPr>
      <w:r>
        <w:rPr>
          <w:rFonts w:hint="eastAsia" w:hAnsi="宋体" w:eastAsia="黑体"/>
          <w:bCs/>
          <w:color w:val="000000" w:themeColor="text1"/>
          <w:kern w:val="0"/>
          <w:sz w:val="32"/>
          <w:szCs w:val="32"/>
        </w:rPr>
        <w:t>五、考试组织实施</w:t>
      </w:r>
    </w:p>
    <w:p>
      <w:pPr>
        <w:pStyle w:val="12"/>
        <w:spacing w:line="580" w:lineRule="exact"/>
        <w:ind w:firstLine="640"/>
        <w:rPr>
          <w:rFonts w:hAnsi="宋体" w:eastAsia="仿宋_GB2312"/>
          <w:color w:val="000000" w:themeColor="text1"/>
          <w:kern w:val="0"/>
          <w:sz w:val="32"/>
          <w:szCs w:val="32"/>
        </w:rPr>
      </w:pPr>
      <w:r>
        <w:rPr>
          <w:rFonts w:hint="eastAsia" w:ascii="仿宋_GB2312" w:hAnsi="仿宋_GB2312" w:eastAsia="仿宋_GB2312" w:cs="仿宋_GB2312"/>
          <w:color w:val="000000" w:themeColor="text1"/>
          <w:sz w:val="32"/>
          <w:szCs w:val="32"/>
        </w:rPr>
        <w:t>普通高中</w:t>
      </w:r>
      <w:r>
        <w:rPr>
          <w:rFonts w:hint="eastAsia" w:hAnsi="宋体" w:eastAsia="仿宋_GB2312"/>
          <w:color w:val="000000" w:themeColor="text1"/>
          <w:kern w:val="0"/>
          <w:sz w:val="32"/>
          <w:szCs w:val="32"/>
        </w:rPr>
        <w:t>信息技术</w:t>
      </w:r>
      <w:r>
        <w:rPr>
          <w:rFonts w:hint="eastAsia" w:ascii="仿宋_GB2312" w:hAnsi="仿宋_GB2312" w:eastAsia="仿宋_GB2312" w:cs="仿宋_GB2312"/>
          <w:color w:val="000000" w:themeColor="text1"/>
          <w:sz w:val="32"/>
          <w:szCs w:val="32"/>
        </w:rPr>
        <w:t>学业水平考试过程性评价由学校组织实施。</w:t>
      </w:r>
      <w:r>
        <w:rPr>
          <w:rFonts w:hint="eastAsia" w:ascii="仿宋_GB2312" w:hAnsi="宋体" w:eastAsia="仿宋_GB2312"/>
          <w:color w:val="000000" w:themeColor="text1"/>
          <w:kern w:val="0"/>
          <w:sz w:val="32"/>
          <w:szCs w:val="32"/>
        </w:rPr>
        <w:t>终结性测试</w:t>
      </w:r>
      <w:r>
        <w:rPr>
          <w:rFonts w:hint="eastAsia" w:ascii="仿宋_GB2312" w:hAnsi="仿宋_GB2312" w:eastAsia="仿宋_GB2312" w:cs="仿宋_GB2312"/>
          <w:color w:val="000000" w:themeColor="text1"/>
          <w:sz w:val="32"/>
          <w:szCs w:val="32"/>
        </w:rPr>
        <w:t>市教科院统一提供试题。区教育行政部门统一组织，学校具体实施。</w:t>
      </w:r>
    </w:p>
    <w:p>
      <w:pPr>
        <w:adjustRightInd w:val="0"/>
        <w:snapToGrid w:val="0"/>
        <w:spacing w:line="580" w:lineRule="exact"/>
        <w:ind w:firstLine="640" w:firstLineChars="200"/>
        <w:outlineLvl w:val="0"/>
        <w:rPr>
          <w:rFonts w:hAnsi="宋体" w:eastAsia="黑体"/>
          <w:bCs/>
          <w:color w:val="000000" w:themeColor="text1"/>
          <w:kern w:val="0"/>
          <w:sz w:val="32"/>
          <w:szCs w:val="32"/>
        </w:rPr>
      </w:pPr>
      <w:r>
        <w:rPr>
          <w:rFonts w:hint="eastAsia" w:hAnsi="宋体" w:eastAsia="黑体"/>
          <w:bCs/>
          <w:color w:val="000000" w:themeColor="text1"/>
          <w:kern w:val="0"/>
          <w:sz w:val="32"/>
          <w:szCs w:val="32"/>
        </w:rPr>
        <w:t>六、考试成绩呈现</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普通高中信息技术学科学业水平考试总成绩为：过程性评价成绩×50%+纸笔测试（或上机测试）成绩×50%。</w:t>
      </w:r>
      <w:r>
        <w:rPr>
          <w:rFonts w:hint="eastAsia" w:ascii="仿宋_GB2312" w:hAnsi="仿宋_GB2312" w:eastAsia="仿宋_GB2312" w:cs="仿宋_GB2312"/>
          <w:color w:val="000000" w:themeColor="text1"/>
          <w:sz w:val="32"/>
          <w:szCs w:val="32"/>
        </w:rPr>
        <w:t>最终成绩呈现方式为“合格”或“不合格”。考试不合格的，终结性测试可根据考试安排参加补考。考试成绩在学生综合素质评价档案中分项如实记录。</w:t>
      </w:r>
    </w:p>
    <w:p>
      <w:pPr>
        <w:spacing w:line="580" w:lineRule="exact"/>
        <w:ind w:firstLine="640" w:firstLineChars="200"/>
        <w:rPr>
          <w:rFonts w:hAnsi="宋体" w:eastAsia="仿宋_GB2312"/>
          <w:color w:val="000000" w:themeColor="text1"/>
          <w:kern w:val="0"/>
          <w:sz w:val="32"/>
          <w:szCs w:val="32"/>
        </w:rPr>
      </w:pPr>
      <w:r>
        <w:rPr>
          <w:rFonts w:hint="eastAsia" w:ascii="仿宋_GB2312" w:hAnsi="仿宋_GB2312" w:eastAsia="仿宋_GB2312" w:cs="仿宋_GB2312"/>
          <w:color w:val="000000" w:themeColor="text1"/>
          <w:sz w:val="32"/>
          <w:szCs w:val="32"/>
        </w:rPr>
        <w:t>申请同等学力人员以终结性测试成绩认定“合格/不合格”。考试不合格的，可根据考试安排参加补考。</w:t>
      </w:r>
    </w:p>
    <w:p>
      <w:pPr>
        <w:adjustRightInd w:val="0"/>
        <w:snapToGrid w:val="0"/>
        <w:spacing w:line="58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七、免考、缓考及其他特殊政策</w:t>
      </w:r>
    </w:p>
    <w:p>
      <w:pPr>
        <w:adjustRightInd w:val="0"/>
        <w:snapToGrid w:val="0"/>
        <w:spacing w:line="580" w:lineRule="exact"/>
        <w:ind w:firstLine="640" w:firstLineChars="200"/>
        <w:jc w:val="left"/>
        <w:rPr>
          <w:rFonts w:ascii="仿宋_GB2312" w:hAnsi="仿宋_GB2312" w:eastAsia="仿宋_GB2312" w:cs="仿宋_GB2312"/>
          <w:color w:val="000000" w:themeColor="text1"/>
          <w:sz w:val="32"/>
          <w:szCs w:val="32"/>
        </w:rPr>
      </w:pPr>
      <w:r>
        <w:rPr>
          <w:rFonts w:hint="eastAsia" w:hAnsi="宋体" w:eastAsia="仿宋_GB2312"/>
          <w:color w:val="000000" w:themeColor="text1"/>
          <w:kern w:val="0"/>
          <w:sz w:val="32"/>
          <w:szCs w:val="32"/>
        </w:rPr>
        <w:t>因病、残等确不能参加或不能按时参加相关测试的考生，根据国家和省的有关规定，可视病、残程度申请免考或缓考。</w:t>
      </w:r>
      <w:r>
        <w:rPr>
          <w:rFonts w:hint="eastAsia" w:ascii="仿宋_GB2312" w:hAnsi="仿宋_GB2312" w:eastAsia="仿宋_GB2312" w:cs="仿宋_GB2312"/>
          <w:color w:val="000000" w:themeColor="text1"/>
          <w:sz w:val="32"/>
          <w:szCs w:val="32"/>
        </w:rPr>
        <w:t>申请免考或缓考的考生须持残联颁发的残疾人证明或三甲以上医院的诊断证明（就医病历），经学校同意并加盖公章后，由学校汇总报区教育行政部门</w:t>
      </w:r>
      <w:r>
        <w:rPr>
          <w:rFonts w:hint="eastAsia" w:ascii="仿宋_GB2312" w:hAnsi="宋体" w:eastAsia="仿宋_GB2312" w:cs="仿宋_GB2312"/>
          <w:color w:val="000000" w:themeColor="text1"/>
          <w:sz w:val="32"/>
          <w:szCs w:val="32"/>
        </w:rPr>
        <w:t>认</w:t>
      </w:r>
      <w:r>
        <w:rPr>
          <w:rFonts w:hint="eastAsia" w:ascii="仿宋_GB2312" w:hAnsi="仿宋_GB2312" w:eastAsia="仿宋_GB2312" w:cs="仿宋_GB2312"/>
          <w:color w:val="000000" w:themeColor="text1"/>
          <w:sz w:val="32"/>
          <w:szCs w:val="32"/>
        </w:rPr>
        <w:t>定。</w:t>
      </w:r>
      <w:r>
        <w:rPr>
          <w:rFonts w:hint="eastAsia" w:ascii="仿宋_GB2312" w:hAnsi="宋体" w:eastAsia="仿宋_GB2312"/>
          <w:color w:val="000000" w:themeColor="text1"/>
          <w:kern w:val="0"/>
          <w:sz w:val="32"/>
          <w:szCs w:val="32"/>
        </w:rPr>
        <w:t>免考学生</w:t>
      </w:r>
      <w:r>
        <w:rPr>
          <w:rFonts w:hint="eastAsia" w:ascii="仿宋_GB2312" w:hAnsi="仿宋_GB2312" w:eastAsia="仿宋_GB2312" w:cs="仿宋_GB2312"/>
          <w:color w:val="000000" w:themeColor="text1"/>
          <w:kern w:val="0"/>
          <w:sz w:val="32"/>
          <w:szCs w:val="32"/>
        </w:rPr>
        <w:t>纸笔测试（或上机测试）</w:t>
      </w:r>
      <w:r>
        <w:rPr>
          <w:rFonts w:hint="eastAsia" w:ascii="仿宋_GB2312" w:hAnsi="宋体" w:eastAsia="仿宋_GB2312"/>
          <w:color w:val="000000" w:themeColor="text1"/>
          <w:kern w:val="0"/>
          <w:sz w:val="32"/>
          <w:szCs w:val="32"/>
        </w:rPr>
        <w:t>成绩认定为“免考合格”。</w:t>
      </w:r>
    </w:p>
    <w:p>
      <w:pPr>
        <w:adjustRightInd w:val="0"/>
        <w:snapToGrid w:val="0"/>
        <w:spacing w:line="580" w:lineRule="exact"/>
        <w:ind w:firstLine="646" w:firstLineChars="202"/>
        <w:outlineLvl w:val="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八、工作要求</w:t>
      </w:r>
    </w:p>
    <w:p>
      <w:pPr>
        <w:pStyle w:val="12"/>
        <w:adjustRightInd w:val="0"/>
        <w:snapToGrid w:val="0"/>
        <w:spacing w:line="580" w:lineRule="exact"/>
        <w:ind w:firstLine="640"/>
        <w:rPr>
          <w:rFonts w:ascii="楷体_GB2312" w:hAnsi="楷体_GB2312" w:eastAsia="楷体_GB2312" w:cs="楷体_GB2312"/>
          <w:b/>
          <w:bCs w:val="0"/>
          <w:i w:val="0"/>
          <w:iCs w:val="0"/>
          <w:color w:val="000000" w:themeColor="text1"/>
          <w:kern w:val="0"/>
          <w:sz w:val="32"/>
          <w:szCs w:val="32"/>
        </w:rPr>
      </w:pPr>
      <w:r>
        <w:rPr>
          <w:rFonts w:hint="eastAsia" w:ascii="楷体_GB2312" w:hAnsi="楷体_GB2312" w:eastAsia="楷体_GB2312" w:cs="楷体_GB2312"/>
          <w:b/>
          <w:bCs w:val="0"/>
          <w:i w:val="0"/>
          <w:iCs w:val="0"/>
          <w:color w:val="000000" w:themeColor="text1"/>
          <w:kern w:val="0"/>
          <w:sz w:val="32"/>
          <w:szCs w:val="32"/>
        </w:rPr>
        <w:t>（一）加强组织领导</w:t>
      </w:r>
    </w:p>
    <w:p>
      <w:pPr>
        <w:pStyle w:val="12"/>
        <w:adjustRightInd w:val="0"/>
        <w:snapToGrid w:val="0"/>
        <w:spacing w:line="580" w:lineRule="exact"/>
        <w:ind w:firstLine="640"/>
        <w:rPr>
          <w:rFonts w:ascii="仿宋_GB2312" w:hAnsi="宋体" w:eastAsia="仿宋_GB2312"/>
          <w:color w:val="000000" w:themeColor="text1"/>
          <w:kern w:val="0"/>
          <w:sz w:val="32"/>
          <w:szCs w:val="32"/>
        </w:rPr>
      </w:pPr>
      <w:r>
        <w:rPr>
          <w:rFonts w:hint="eastAsia" w:ascii="仿宋_GB2312" w:hAnsi="仿宋_GB2312" w:eastAsia="仿宋_GB2312" w:cs="仿宋_GB2312"/>
          <w:color w:val="000000" w:themeColor="text1"/>
          <w:sz w:val="32"/>
          <w:szCs w:val="32"/>
        </w:rPr>
        <w:t>各区教育行政部门、各学校要</w:t>
      </w:r>
      <w:r>
        <w:rPr>
          <w:rFonts w:hint="eastAsia" w:ascii="Times New Roman" w:hAnsi="Times New Roman" w:eastAsia="仿宋_GB2312" w:cs="Times New Roman"/>
          <w:color w:val="000000" w:themeColor="text1"/>
          <w:kern w:val="15"/>
          <w:sz w:val="32"/>
          <w:szCs w:val="32"/>
        </w:rPr>
        <w:t>高度重视，</w:t>
      </w:r>
      <w:r>
        <w:rPr>
          <w:rFonts w:hint="eastAsia" w:ascii="仿宋_GB2312" w:hAnsi="仿宋_GB2312" w:eastAsia="仿宋_GB2312" w:cs="仿宋_GB2312"/>
          <w:color w:val="000000" w:themeColor="text1"/>
          <w:sz w:val="32"/>
          <w:szCs w:val="32"/>
        </w:rPr>
        <w:t>成立信息技术学业水平考试工作领导小组，</w:t>
      </w:r>
      <w:r>
        <w:rPr>
          <w:rFonts w:hint="eastAsia" w:ascii="Times New Roman" w:hAnsi="Times New Roman" w:eastAsia="仿宋_GB2312" w:cs="Times New Roman"/>
          <w:color w:val="000000" w:themeColor="text1"/>
          <w:kern w:val="15"/>
          <w:sz w:val="32"/>
          <w:szCs w:val="32"/>
        </w:rPr>
        <w:t>制定周全的考试应急预案。</w:t>
      </w:r>
      <w:r>
        <w:rPr>
          <w:rFonts w:hint="eastAsia" w:ascii="仿宋_GB2312" w:hAnsi="宋体" w:eastAsia="仿宋_GB2312"/>
          <w:color w:val="000000" w:themeColor="text1"/>
          <w:kern w:val="0"/>
          <w:sz w:val="32"/>
          <w:szCs w:val="32"/>
        </w:rPr>
        <w:t>各学校根据本实施办法制定本校高中学生</w:t>
      </w:r>
      <w:r>
        <w:rPr>
          <w:rFonts w:hint="eastAsia" w:ascii="仿宋_GB2312" w:hAnsi="宋体" w:eastAsia="仿宋_GB2312" w:cs="仿宋_GB2312"/>
          <w:color w:val="000000" w:themeColor="text1"/>
          <w:sz w:val="32"/>
          <w:szCs w:val="32"/>
        </w:rPr>
        <w:t>信息技术</w:t>
      </w:r>
      <w:r>
        <w:rPr>
          <w:rFonts w:hint="eastAsia" w:ascii="仿宋_GB2312" w:hAnsi="宋体" w:eastAsia="仿宋_GB2312" w:cs="仿宋_GB2312"/>
          <w:color w:val="000000" w:themeColor="text1"/>
          <w:sz w:val="32"/>
          <w:szCs w:val="32"/>
          <w:lang w:val="zh-CN"/>
        </w:rPr>
        <w:t>学业水平考试过程性评价实施细则</w:t>
      </w:r>
      <w:r>
        <w:rPr>
          <w:rFonts w:hint="eastAsia" w:ascii="仿宋_GB2312" w:hAnsi="仿宋_GB2312" w:eastAsia="仿宋_GB2312" w:cs="仿宋_GB2312"/>
          <w:color w:val="000000" w:themeColor="text1"/>
          <w:sz w:val="32"/>
          <w:szCs w:val="32"/>
        </w:rPr>
        <w:t>，</w:t>
      </w:r>
      <w:r>
        <w:rPr>
          <w:rFonts w:hint="eastAsia" w:ascii="仿宋_GB2312" w:hAnsi="宋体" w:eastAsia="仿宋_GB2312"/>
          <w:color w:val="000000" w:themeColor="text1"/>
          <w:kern w:val="0"/>
          <w:sz w:val="32"/>
          <w:szCs w:val="32"/>
        </w:rPr>
        <w:t>报区教育行政部门备案。</w:t>
      </w:r>
    </w:p>
    <w:p>
      <w:pPr>
        <w:pStyle w:val="12"/>
        <w:adjustRightInd w:val="0"/>
        <w:snapToGrid w:val="0"/>
        <w:spacing w:line="580" w:lineRule="exact"/>
        <w:ind w:firstLine="640"/>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（二）加强教学管理</w:t>
      </w:r>
    </w:p>
    <w:p>
      <w:pPr>
        <w:pStyle w:val="12"/>
        <w:adjustRightInd w:val="0"/>
        <w:snapToGrid w:val="0"/>
        <w:spacing w:line="580" w:lineRule="exact"/>
        <w:ind w:firstLine="64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各学校要严格落实《</w:t>
      </w:r>
      <w:r>
        <w:rPr>
          <w:rFonts w:hint="eastAsia" w:ascii="仿宋_GB2312" w:hAnsi="Times New Roman" w:eastAsia="仿宋_GB2312" w:cs="Times New Roman"/>
          <w:color w:val="000000" w:themeColor="text1"/>
          <w:kern w:val="15"/>
          <w:sz w:val="32"/>
          <w:szCs w:val="32"/>
        </w:rPr>
        <w:t>普通高中信息技术课程标准（2017年版2020年修订）》</w:t>
      </w:r>
      <w:r>
        <w:rPr>
          <w:rFonts w:hint="eastAsia" w:ascii="仿宋_GB2312" w:hAnsi="宋体" w:eastAsia="仿宋_GB2312"/>
          <w:color w:val="000000" w:themeColor="text1"/>
          <w:kern w:val="0"/>
          <w:sz w:val="32"/>
          <w:szCs w:val="32"/>
        </w:rPr>
        <w:t>，合理安排教学进度，严禁压缩课程授课时间，确保开齐开足信息技术课程。</w:t>
      </w:r>
      <w:r>
        <w:rPr>
          <w:rFonts w:hint="eastAsia" w:ascii="仿宋_GB2312" w:hAnsi="仿宋_GB2312" w:eastAsia="仿宋_GB2312" w:cs="仿宋_GB2312"/>
          <w:color w:val="000000" w:themeColor="text1"/>
          <w:kern w:val="0"/>
          <w:sz w:val="32"/>
          <w:szCs w:val="32"/>
        </w:rPr>
        <w:t>各学校可在学业水平考试结束后，根据需要自主开展选修课程。</w:t>
      </w:r>
    </w:p>
    <w:p>
      <w:pPr>
        <w:pStyle w:val="12"/>
        <w:numPr>
          <w:ilvl w:val="0"/>
          <w:numId w:val="1"/>
        </w:numPr>
        <w:adjustRightInd w:val="0"/>
        <w:snapToGrid w:val="0"/>
        <w:spacing w:line="580" w:lineRule="exact"/>
        <w:ind w:firstLine="640"/>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lang w:eastAsia="zh-CN"/>
        </w:rPr>
        <w:t>（</w:t>
      </w:r>
      <w:r>
        <w:rPr>
          <w:rFonts w:hint="eastAsia" w:ascii="楷体_GB2312" w:hAnsi="楷体_GB2312" w:eastAsia="楷体_GB2312" w:cs="楷体_GB2312"/>
          <w:b/>
          <w:bCs w:val="0"/>
          <w:color w:val="000000" w:themeColor="text1"/>
          <w:kern w:val="0"/>
          <w:sz w:val="32"/>
          <w:szCs w:val="32"/>
          <w:lang w:val="en-US" w:eastAsia="zh-CN"/>
        </w:rPr>
        <w:t>三</w:t>
      </w:r>
      <w:r>
        <w:rPr>
          <w:rFonts w:hint="eastAsia" w:ascii="楷体_GB2312" w:hAnsi="楷体_GB2312" w:eastAsia="楷体_GB2312" w:cs="楷体_GB2312"/>
          <w:b/>
          <w:bCs w:val="0"/>
          <w:color w:val="000000" w:themeColor="text1"/>
          <w:kern w:val="0"/>
          <w:sz w:val="32"/>
          <w:szCs w:val="32"/>
          <w:lang w:eastAsia="zh-CN"/>
        </w:rPr>
        <w:t>）</w:t>
      </w:r>
      <w:r>
        <w:rPr>
          <w:rFonts w:hint="eastAsia" w:ascii="楷体_GB2312" w:hAnsi="楷体_GB2312" w:eastAsia="楷体_GB2312" w:cs="楷体_GB2312"/>
          <w:b/>
          <w:bCs w:val="0"/>
          <w:color w:val="000000" w:themeColor="text1"/>
          <w:kern w:val="0"/>
          <w:sz w:val="32"/>
          <w:szCs w:val="32"/>
        </w:rPr>
        <w:t>建立结果公示制度</w:t>
      </w:r>
    </w:p>
    <w:p>
      <w:pPr>
        <w:spacing w:line="580" w:lineRule="exact"/>
        <w:ind w:firstLine="640" w:firstLineChars="200"/>
        <w:rPr>
          <w:rFonts w:ascii="仿宋_GB2312" w:hAnsi="宋体" w:eastAsia="仿宋_GB2312"/>
          <w:color w:val="000000" w:themeColor="text1"/>
          <w:kern w:val="0"/>
          <w:sz w:val="32"/>
          <w:szCs w:val="32"/>
        </w:rPr>
      </w:pPr>
      <w:r>
        <w:rPr>
          <w:rFonts w:hint="eastAsia" w:ascii="仿宋_GB2312" w:hAnsi="仿宋_GB2312" w:eastAsia="仿宋_GB2312"/>
          <w:color w:val="000000" w:themeColor="text1"/>
          <w:sz w:val="32"/>
        </w:rPr>
        <w:t>各</w:t>
      </w:r>
      <w:r>
        <w:rPr>
          <w:rFonts w:hint="eastAsia" w:ascii="仿宋_GB2312" w:hAnsi="宋体" w:eastAsia="仿宋_GB2312"/>
          <w:color w:val="000000" w:themeColor="text1"/>
          <w:kern w:val="0"/>
          <w:sz w:val="32"/>
          <w:szCs w:val="32"/>
        </w:rPr>
        <w:t>学校在校内公示学生测试结果。市招考办和区教育行政部门设立和公布监督电话，接受社会监督。</w:t>
      </w:r>
    </w:p>
    <w:p>
      <w:pPr>
        <w:adjustRightInd w:val="0"/>
        <w:snapToGrid w:val="0"/>
        <w:spacing w:line="580" w:lineRule="exact"/>
        <w:rPr>
          <w:rFonts w:ascii="仿宋_GB2312" w:hAnsi="宋体" w:eastAsia="仿宋_GB2312"/>
          <w:color w:val="000000" w:themeColor="text1"/>
          <w:kern w:val="0"/>
          <w:sz w:val="32"/>
          <w:szCs w:val="32"/>
        </w:rPr>
      </w:pPr>
    </w:p>
    <w:p>
      <w:pPr>
        <w:spacing w:line="580" w:lineRule="exact"/>
        <w:ind w:left="1918" w:leftChars="304" w:hanging="1280" w:hangingChars="400"/>
        <w:jc w:val="left"/>
        <w:rPr>
          <w:rFonts w:ascii="仿宋_GB2312" w:hAnsi="仿宋_GB2312" w:eastAsia="仿宋_GB2312" w:cs="仿宋_GB2312"/>
          <w:color w:val="000000" w:themeColor="text1"/>
          <w:sz w:val="32"/>
          <w:szCs w:val="32"/>
        </w:rPr>
      </w:pPr>
      <w:r>
        <w:rPr>
          <w:rFonts w:hint="eastAsia" w:ascii="仿宋_GB2312" w:hAnsi="宋体" w:eastAsia="仿宋_GB2312"/>
          <w:color w:val="000000" w:themeColor="text1"/>
          <w:kern w:val="0"/>
          <w:sz w:val="32"/>
          <w:szCs w:val="32"/>
        </w:rPr>
        <w:t>附件：1.</w:t>
      </w:r>
      <w:r>
        <w:rPr>
          <w:rFonts w:hint="eastAsia" w:ascii="仿宋_GB2312" w:hAnsi="仿宋_GB2312" w:eastAsia="仿宋_GB2312" w:cs="仿宋_GB2312"/>
          <w:color w:val="000000" w:themeColor="text1"/>
          <w:sz w:val="32"/>
          <w:szCs w:val="32"/>
        </w:rPr>
        <w:t>深圳市普通高中信息技术学业水平考试过程性评价</w:t>
      </w:r>
    </w:p>
    <w:p>
      <w:pPr>
        <w:spacing w:line="580" w:lineRule="exact"/>
        <w:ind w:firstLine="1808" w:firstLineChars="565"/>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建议表</w:t>
      </w:r>
    </w:p>
    <w:p>
      <w:pPr>
        <w:spacing w:line="580" w:lineRule="exact"/>
        <w:ind w:left="1329" w:leftChars="633" w:firstLine="160" w:firstLineChars="50"/>
        <w:jc w:val="left"/>
        <w:rPr>
          <w:rFonts w:ascii="仿宋_GB2312" w:eastAsia="仿宋_GB2312"/>
          <w:color w:val="000000" w:themeColor="text1"/>
          <w:sz w:val="32"/>
          <w:szCs w:val="32"/>
        </w:rPr>
      </w:pPr>
      <w:r>
        <w:rPr>
          <w:rFonts w:hint="eastAsia" w:ascii="仿宋_GB2312" w:eastAsia="仿宋_GB2312"/>
          <w:color w:val="000000" w:themeColor="text1"/>
          <w:sz w:val="32"/>
          <w:szCs w:val="32"/>
        </w:rPr>
        <w:t>2.深圳市普通高中信息技术学业水平考试成绩评定</w:t>
      </w:r>
    </w:p>
    <w:p>
      <w:pPr>
        <w:spacing w:line="580" w:lineRule="exact"/>
        <w:ind w:left="1329" w:leftChars="633" w:firstLine="480" w:firstLineChars="150"/>
        <w:jc w:val="left"/>
        <w:rPr>
          <w:rFonts w:ascii="仿宋_GB2312" w:eastAsia="仿宋_GB2312"/>
          <w:b/>
          <w:color w:val="000000" w:themeColor="text1"/>
          <w:sz w:val="32"/>
          <w:szCs w:val="32"/>
        </w:rPr>
      </w:pPr>
      <w:r>
        <w:rPr>
          <w:rFonts w:hint="eastAsia" w:ascii="仿宋_GB2312" w:eastAsia="仿宋_GB2312"/>
          <w:color w:val="000000" w:themeColor="text1"/>
          <w:sz w:val="32"/>
          <w:szCs w:val="32"/>
        </w:rPr>
        <w:t>结果汇总表</w:t>
      </w:r>
    </w:p>
    <w:p>
      <w:pPr>
        <w:spacing w:line="580" w:lineRule="exact"/>
        <w:rPr>
          <w:rFonts w:ascii="黑体" w:hAnsi="黑体" w:eastAsia="黑体"/>
          <w:color w:val="000000" w:themeColor="text1"/>
          <w:kern w:val="0"/>
          <w:sz w:val="32"/>
          <w:szCs w:val="32"/>
        </w:rPr>
      </w:pPr>
      <w:r>
        <w:rPr>
          <w:rFonts w:hAnsi="宋体" w:eastAsia="仿宋_GB2312"/>
          <w:color w:val="000000" w:themeColor="text1"/>
          <w:kern w:val="0"/>
          <w:sz w:val="32"/>
          <w:szCs w:val="32"/>
        </w:rPr>
        <w:br w:type="page"/>
      </w:r>
      <w:r>
        <w:rPr>
          <w:rFonts w:hint="eastAsia" w:ascii="黑体" w:hAnsi="黑体" w:eastAsia="黑体"/>
          <w:color w:val="000000" w:themeColor="text1"/>
          <w:kern w:val="0"/>
          <w:sz w:val="32"/>
          <w:szCs w:val="32"/>
        </w:rPr>
        <w:t>附件1</w:t>
      </w:r>
    </w:p>
    <w:p>
      <w:pPr>
        <w:spacing w:line="580" w:lineRule="exact"/>
        <w:rPr>
          <w:rFonts w:ascii="黑体" w:hAnsi="黑体" w:eastAsia="黑体"/>
          <w:color w:val="000000" w:themeColor="text1"/>
          <w:kern w:val="0"/>
          <w:sz w:val="32"/>
          <w:szCs w:val="32"/>
        </w:rPr>
      </w:pPr>
    </w:p>
    <w:p>
      <w:pPr>
        <w:spacing w:line="580" w:lineRule="exact"/>
        <w:jc w:val="center"/>
        <w:rPr>
          <w:rFonts w:ascii="方正小标宋_GBK" w:hAnsi="仿宋_GB2312" w:eastAsia="方正小标宋_GBK" w:cs="仿宋_GB2312"/>
          <w:color w:val="000000" w:themeColor="text1"/>
          <w:sz w:val="44"/>
          <w:szCs w:val="44"/>
        </w:rPr>
      </w:pPr>
      <w:r>
        <w:rPr>
          <w:rFonts w:hint="eastAsia" w:ascii="方正小标宋_GBK" w:hAnsi="仿宋_GB2312" w:eastAsia="方正小标宋_GBK" w:cs="仿宋_GB2312"/>
          <w:color w:val="000000" w:themeColor="text1"/>
          <w:sz w:val="44"/>
          <w:szCs w:val="44"/>
        </w:rPr>
        <w:t>深圳市普通高中信息技术学业水平考试</w:t>
      </w:r>
    </w:p>
    <w:p>
      <w:pPr>
        <w:spacing w:line="580" w:lineRule="exact"/>
        <w:jc w:val="center"/>
        <w:rPr>
          <w:rFonts w:ascii="方正小标宋_GBK" w:hAnsi="仿宋_GB2312" w:eastAsia="方正小标宋_GBK" w:cs="仿宋_GB2312"/>
          <w:color w:val="000000" w:themeColor="text1"/>
          <w:sz w:val="44"/>
          <w:szCs w:val="44"/>
        </w:rPr>
      </w:pPr>
      <w:r>
        <w:rPr>
          <w:rFonts w:hint="eastAsia" w:ascii="方正小标宋_GBK" w:hAnsi="仿宋_GB2312" w:eastAsia="方正小标宋_GBK" w:cs="仿宋_GB2312"/>
          <w:color w:val="000000" w:themeColor="text1"/>
          <w:sz w:val="44"/>
          <w:szCs w:val="44"/>
        </w:rPr>
        <w:t>过程性评价建议表</w:t>
      </w:r>
    </w:p>
    <w:p>
      <w:pPr>
        <w:spacing w:line="580" w:lineRule="exact"/>
        <w:jc w:val="center"/>
        <w:rPr>
          <w:rFonts w:ascii="方正小标宋_GBK" w:eastAsia="方正小标宋_GBK"/>
          <w:bCs/>
          <w:color w:val="000000" w:themeColor="text1"/>
          <w:sz w:val="44"/>
          <w:szCs w:val="44"/>
        </w:rPr>
      </w:pPr>
    </w:p>
    <w:p>
      <w:pPr>
        <w:spacing w:line="580" w:lineRule="exact"/>
        <w:ind w:right="-624" w:rightChars="-297" w:firstLine="120" w:firstLineChars="50"/>
        <w:rPr>
          <w:rFonts w:ascii="仿宋_GB2312" w:eastAsia="仿宋_GB2312"/>
          <w:color w:val="000000" w:themeColor="text1"/>
          <w:sz w:val="32"/>
          <w:szCs w:val="32"/>
        </w:rPr>
      </w:pPr>
      <w:r>
        <w:rPr>
          <w:rFonts w:hint="eastAsia" w:ascii="仿宋_GB2312" w:eastAsia="仿宋_GB2312"/>
          <w:color w:val="000000" w:themeColor="text1"/>
          <w:sz w:val="24"/>
        </w:rPr>
        <w:t>学校：               班级：             学生姓名：        第 学期/模块</w:t>
      </w:r>
    </w:p>
    <w:tbl>
      <w:tblPr>
        <w:tblStyle w:val="9"/>
        <w:tblW w:w="9013" w:type="dxa"/>
        <w:jc w:val="center"/>
        <w:tblLayout w:type="fixed"/>
        <w:tblCellMar>
          <w:top w:w="0" w:type="dxa"/>
          <w:left w:w="0" w:type="dxa"/>
          <w:bottom w:w="0" w:type="dxa"/>
          <w:right w:w="0" w:type="dxa"/>
        </w:tblCellMar>
      </w:tblPr>
      <w:tblGrid>
        <w:gridCol w:w="1359"/>
        <w:gridCol w:w="4961"/>
        <w:gridCol w:w="1210"/>
        <w:gridCol w:w="760"/>
        <w:gridCol w:w="723"/>
      </w:tblGrid>
      <w:tr>
        <w:tblPrEx>
          <w:tblCellMar>
            <w:top w:w="0" w:type="dxa"/>
            <w:left w:w="0" w:type="dxa"/>
            <w:bottom w:w="0" w:type="dxa"/>
            <w:right w:w="0" w:type="dxa"/>
          </w:tblCellMar>
        </w:tblPrEx>
        <w:trPr>
          <w:cantSplit/>
          <w:trHeight w:val="530" w:hRule="atLeast"/>
          <w:jc w:val="center"/>
        </w:trPr>
        <w:tc>
          <w:tcPr>
            <w:tcW w:w="1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评价项目</w:t>
            </w: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评分参考标准</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分值</w:t>
            </w:r>
          </w:p>
        </w:tc>
        <w:tc>
          <w:tcPr>
            <w:tcW w:w="7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得分</w:t>
            </w:r>
          </w:p>
        </w:tc>
        <w:tc>
          <w:tcPr>
            <w:tcW w:w="7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备注</w:t>
            </w:r>
          </w:p>
        </w:tc>
      </w:tr>
      <w:tr>
        <w:tblPrEx>
          <w:tblCellMar>
            <w:top w:w="0" w:type="dxa"/>
            <w:left w:w="0" w:type="dxa"/>
            <w:bottom w:w="0" w:type="dxa"/>
            <w:right w:w="0" w:type="dxa"/>
          </w:tblCellMar>
        </w:tblPrEx>
        <w:trPr>
          <w:cantSplit/>
          <w:trHeight w:val="460" w:hRule="atLeast"/>
          <w:jc w:val="center"/>
        </w:trPr>
        <w:tc>
          <w:tcPr>
            <w:tcW w:w="13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上课出勤</w:t>
            </w:r>
          </w:p>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（30分）</w:t>
            </w: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能参加信息技术课程，很好地完成课程任务,没有缺课。</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26-30</w:t>
            </w:r>
          </w:p>
        </w:tc>
        <w:tc>
          <w:tcPr>
            <w:tcW w:w="76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719"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能参加信息技术课程，较好地完成课程任务，有时缺课（不超过3课时）。</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21-25</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single" w:color="auto" w:sz="4" w:space="0"/>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285"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能参加信息技术课程，完成课程任务情况一般，有时缺课（不超过6课时）。</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11-20</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single" w:color="auto" w:sz="4" w:space="0"/>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497"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参加信息技术课程较少，没有完成课程任务。</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0-10</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single" w:color="auto" w:sz="4" w:space="0"/>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720" w:hRule="atLeast"/>
          <w:jc w:val="center"/>
        </w:trPr>
        <w:tc>
          <w:tcPr>
            <w:tcW w:w="13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课堂综合表现（20分）</w:t>
            </w: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学习态度端正，积极、认真上好信息技术课程，积极主动完成课堂中各种探究活动、能与他人合作，主动帮助其他同学。</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18-20</w:t>
            </w:r>
          </w:p>
        </w:tc>
        <w:tc>
          <w:tcPr>
            <w:tcW w:w="76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vMerge w:val="restart"/>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600"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能积极、认真参加信息技术课程，较主动完成课堂中各种探究活动。</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12-17</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single" w:color="auto" w:sz="4" w:space="0"/>
              <w:left w:val="single" w:color="auto" w:sz="4" w:space="0"/>
              <w:bottom w:val="nil"/>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480"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学习态度不够认真，比较马虎应付课程，能完成一部分探究活动或学习任务</w:t>
            </w:r>
            <w:r>
              <w:rPr>
                <w:rFonts w:hint="eastAsia" w:ascii="仿宋_GB2312" w:hAnsi="宋体" w:eastAsia="仿宋_GB2312"/>
                <w:color w:val="000000" w:themeColor="text1"/>
              </w:rPr>
              <w:t>。</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7-11</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single" w:color="auto" w:sz="4" w:space="0"/>
              <w:left w:val="single" w:color="auto" w:sz="4" w:space="0"/>
              <w:bottom w:val="nil"/>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366"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学习态度不够认真，不配合、不愿参与教学活动。</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0-6</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single" w:color="auto" w:sz="4" w:space="0"/>
              <w:left w:val="single" w:color="auto" w:sz="4" w:space="0"/>
              <w:bottom w:val="nil"/>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826"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实践活动</w:t>
            </w:r>
          </w:p>
          <w:p>
            <w:pPr>
              <w:spacing w:line="580" w:lineRule="exact"/>
              <w:jc w:val="center"/>
              <w:rPr>
                <w:rFonts w:ascii="仿宋_GB2312" w:eastAsia="仿宋_GB2312"/>
                <w:color w:val="000000" w:themeColor="text1"/>
              </w:rPr>
            </w:pPr>
            <w:r>
              <w:rPr>
                <w:rFonts w:hint="eastAsia" w:ascii="仿宋_GB2312" w:eastAsia="仿宋_GB2312"/>
                <w:color w:val="000000" w:themeColor="text1"/>
              </w:rPr>
              <w:t>（20分）</w:t>
            </w: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参与学校信息技术类社团，信息技术第二课堂、兴趣小组、创客社团。</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11-20</w:t>
            </w:r>
          </w:p>
        </w:tc>
        <w:tc>
          <w:tcPr>
            <w:tcW w:w="76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本项可累加，满分不超过20分。</w:t>
            </w:r>
          </w:p>
        </w:tc>
        <w:tc>
          <w:tcPr>
            <w:tcW w:w="723" w:type="dxa"/>
            <w:vMerge w:val="continue"/>
            <w:tcBorders>
              <w:top w:val="single" w:color="auto" w:sz="4" w:space="0"/>
              <w:left w:val="single" w:color="auto" w:sz="4" w:space="0"/>
              <w:bottom w:val="nil"/>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847"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color w:val="000000" w:themeColor="text1"/>
              </w:rPr>
            </w:pPr>
          </w:p>
        </w:tc>
        <w:tc>
          <w:tcPr>
            <w:tcW w:w="4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参与学校组织的科技、艺术节等活动中与信息技术、创客教育有关的比赛或其他应用实践活动。</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0-10</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single" w:color="auto" w:sz="4" w:space="0"/>
              <w:left w:val="single" w:color="auto" w:sz="4" w:space="0"/>
              <w:bottom w:val="nil"/>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1105"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阶段性评价</w:t>
            </w:r>
          </w:p>
          <w:p>
            <w:pPr>
              <w:spacing w:line="580" w:lineRule="exact"/>
              <w:jc w:val="center"/>
              <w:rPr>
                <w:rFonts w:ascii="仿宋_GB2312" w:eastAsia="仿宋_GB2312"/>
                <w:color w:val="000000" w:themeColor="text1"/>
              </w:rPr>
            </w:pPr>
            <w:r>
              <w:rPr>
                <w:rFonts w:hint="eastAsia" w:ascii="仿宋_GB2312" w:eastAsia="仿宋_GB2312"/>
                <w:color w:val="000000" w:themeColor="text1"/>
              </w:rPr>
              <w:t>（30分）</w:t>
            </w:r>
          </w:p>
        </w:tc>
        <w:tc>
          <w:tcPr>
            <w:tcW w:w="4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根据课堂作业、课堂测试、作品质量、期末测试等项目，由科任老师进行客观评价。</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0—30</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bl>
    <w:p>
      <w:pPr>
        <w:spacing w:line="580" w:lineRule="exact"/>
        <w:jc w:val="right"/>
        <w:rPr>
          <w:rFonts w:ascii="方正小标宋简体" w:eastAsia="方正小标宋简体"/>
          <w:color w:val="000000" w:themeColor="text1"/>
          <w:sz w:val="44"/>
          <w:szCs w:val="44"/>
        </w:rPr>
      </w:pPr>
      <w:r>
        <w:rPr>
          <w:rFonts w:hint="eastAsia" w:ascii="仿宋_GB2312" w:eastAsia="仿宋_GB2312"/>
          <w:color w:val="000000" w:themeColor="text1"/>
        </w:rPr>
        <w:t>分值100分</w:t>
      </w:r>
    </w:p>
    <w:p>
      <w:pPr>
        <w:spacing w:line="580" w:lineRule="exact"/>
        <w:jc w:val="center"/>
        <w:rPr>
          <w:rFonts w:ascii="方正小标宋简体" w:eastAsia="方正小标宋简体"/>
          <w:color w:val="000000" w:themeColor="text1"/>
          <w:sz w:val="44"/>
          <w:szCs w:val="44"/>
        </w:rPr>
      </w:pPr>
    </w:p>
    <w:p>
      <w:pPr>
        <w:spacing w:line="580" w:lineRule="exact"/>
        <w:jc w:val="center"/>
        <w:rPr>
          <w:rFonts w:ascii="方正小标宋简体" w:eastAsia="方正小标宋简体"/>
          <w:color w:val="000000" w:themeColor="text1"/>
          <w:sz w:val="44"/>
          <w:szCs w:val="44"/>
        </w:rPr>
      </w:pPr>
    </w:p>
    <w:p>
      <w:pPr>
        <w:spacing w:line="580" w:lineRule="exact"/>
        <w:jc w:val="center"/>
        <w:rPr>
          <w:rFonts w:ascii="方正小标宋简体" w:eastAsia="方正小标宋简体"/>
          <w:color w:val="000000" w:themeColor="text1"/>
          <w:sz w:val="44"/>
          <w:szCs w:val="44"/>
        </w:rPr>
      </w:pPr>
    </w:p>
    <w:p>
      <w:pPr>
        <w:spacing w:line="580" w:lineRule="exact"/>
        <w:jc w:val="center"/>
        <w:rPr>
          <w:rFonts w:ascii="方正小标宋简体" w:eastAsia="方正小标宋简体"/>
          <w:color w:val="000000" w:themeColor="text1"/>
          <w:sz w:val="44"/>
          <w:szCs w:val="44"/>
        </w:rPr>
      </w:pPr>
    </w:p>
    <w:p>
      <w:pPr>
        <w:spacing w:line="580" w:lineRule="exact"/>
        <w:jc w:val="center"/>
        <w:rPr>
          <w:rFonts w:ascii="方正小标宋简体" w:eastAsia="方正小标宋简体"/>
          <w:color w:val="000000" w:themeColor="text1"/>
          <w:sz w:val="44"/>
          <w:szCs w:val="44"/>
        </w:rPr>
      </w:pPr>
    </w:p>
    <w:p>
      <w:pPr>
        <w:spacing w:line="580" w:lineRule="exact"/>
        <w:jc w:val="center"/>
        <w:rPr>
          <w:rFonts w:ascii="方正小标宋简体" w:eastAsia="方正小标宋简体"/>
          <w:color w:val="000000" w:themeColor="text1"/>
          <w:sz w:val="44"/>
          <w:szCs w:val="44"/>
        </w:rPr>
      </w:pPr>
    </w:p>
    <w:p>
      <w:pPr>
        <w:spacing w:line="580" w:lineRule="exact"/>
        <w:jc w:val="center"/>
        <w:rPr>
          <w:rFonts w:ascii="方正小标宋简体" w:eastAsia="方正小标宋简体"/>
          <w:color w:val="000000" w:themeColor="text1"/>
          <w:sz w:val="44"/>
          <w:szCs w:val="44"/>
        </w:rPr>
      </w:pPr>
    </w:p>
    <w:p>
      <w:pPr>
        <w:spacing w:line="580" w:lineRule="exact"/>
        <w:jc w:val="center"/>
        <w:rPr>
          <w:rFonts w:ascii="方正小标宋简体" w:eastAsia="方正小标宋简体"/>
          <w:color w:val="000000" w:themeColor="text1"/>
          <w:sz w:val="44"/>
          <w:szCs w:val="44"/>
        </w:rPr>
      </w:pPr>
    </w:p>
    <w:p>
      <w:pPr>
        <w:spacing w:line="580" w:lineRule="exact"/>
        <w:jc w:val="center"/>
        <w:rPr>
          <w:rFonts w:ascii="方正小标宋简体" w:eastAsia="方正小标宋简体"/>
          <w:color w:val="000000" w:themeColor="text1"/>
          <w:sz w:val="44"/>
          <w:szCs w:val="44"/>
        </w:rPr>
      </w:pPr>
    </w:p>
    <w:p>
      <w:pPr>
        <w:spacing w:line="580" w:lineRule="exact"/>
        <w:jc w:val="center"/>
        <w:rPr>
          <w:rFonts w:ascii="方正小标宋简体" w:eastAsia="方正小标宋简体"/>
          <w:color w:val="000000" w:themeColor="text1"/>
          <w:sz w:val="44"/>
          <w:szCs w:val="44"/>
        </w:rPr>
        <w:sectPr>
          <w:footerReference r:id="rId3" w:type="default"/>
          <w:pgSz w:w="11906" w:h="16838"/>
          <w:pgMar w:top="2098" w:right="1474" w:bottom="1984" w:left="1587" w:header="851" w:footer="1361" w:gutter="0"/>
          <w:pgNumType w:fmt="decimal"/>
          <w:cols w:space="425" w:num="1"/>
          <w:docGrid w:type="lines" w:linePitch="312" w:charSpace="0"/>
        </w:sectPr>
      </w:pPr>
    </w:p>
    <w:p>
      <w:pPr>
        <w:widowControl/>
        <w:spacing w:line="580" w:lineRule="exac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附件2</w:t>
      </w:r>
    </w:p>
    <w:p>
      <w:pPr>
        <w:widowControl/>
        <w:spacing w:line="580" w:lineRule="exact"/>
        <w:rPr>
          <w:rFonts w:ascii="黑体" w:hAnsi="黑体" w:eastAsia="黑体" w:cs="仿宋_GB2312"/>
          <w:color w:val="000000" w:themeColor="text1"/>
          <w:sz w:val="32"/>
          <w:szCs w:val="32"/>
        </w:rPr>
      </w:pPr>
    </w:p>
    <w:p>
      <w:pPr>
        <w:spacing w:line="58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深圳市普通高中信息技术学业水平考试</w:t>
      </w:r>
    </w:p>
    <w:p>
      <w:pPr>
        <w:spacing w:line="58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成绩评定结果汇总表</w:t>
      </w:r>
    </w:p>
    <w:p>
      <w:pPr>
        <w:widowControl/>
        <w:spacing w:line="580" w:lineRule="exact"/>
        <w:jc w:val="center"/>
        <w:rPr>
          <w:rFonts w:ascii="黑体" w:hAnsi="黑体" w:eastAsia="黑体" w:cs="方正小标宋简体"/>
          <w:color w:val="000000" w:themeColor="text1"/>
          <w:sz w:val="32"/>
          <w:szCs w:val="32"/>
        </w:rPr>
      </w:pPr>
    </w:p>
    <w:p>
      <w:pPr>
        <w:widowControl/>
        <w:spacing w:line="580" w:lineRule="exact"/>
        <w:jc w:val="left"/>
        <w:rPr>
          <w:rFonts w:ascii="仿宋_GB2312" w:hAnsi="方正小标宋简体" w:eastAsia="仿宋_GB2312" w:cs="方正小标宋简体"/>
          <w:color w:val="000000" w:themeColor="text1"/>
          <w:sz w:val="28"/>
          <w:szCs w:val="28"/>
        </w:rPr>
      </w:pPr>
      <w:r>
        <w:rPr>
          <w:rFonts w:hint="eastAsia" w:ascii="仿宋_GB2312" w:hAnsi="方正小标宋简体" w:eastAsia="仿宋_GB2312" w:cs="方正小标宋简体"/>
          <w:color w:val="000000" w:themeColor="text1"/>
          <w:sz w:val="28"/>
          <w:szCs w:val="28"/>
        </w:rPr>
        <w:t>学校：            年级：                  评定时间：</w:t>
      </w:r>
    </w:p>
    <w:tbl>
      <w:tblPr>
        <w:tblStyle w:val="9"/>
        <w:tblW w:w="9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990"/>
        <w:gridCol w:w="761"/>
        <w:gridCol w:w="1560"/>
        <w:gridCol w:w="2923"/>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学籍号</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姓名</w:t>
            </w:r>
          </w:p>
        </w:tc>
        <w:tc>
          <w:tcPr>
            <w:tcW w:w="7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性别</w:t>
            </w:r>
          </w:p>
        </w:tc>
        <w:tc>
          <w:tcPr>
            <w:tcW w:w="667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成绩评定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6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过程性评价</w:t>
            </w:r>
          </w:p>
        </w:tc>
        <w:tc>
          <w:tcPr>
            <w:tcW w:w="2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纸笔测试（或上机测试）成绩</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最终成绩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bl>
    <w:p>
      <w:pPr>
        <w:widowControl/>
        <w:spacing w:line="580" w:lineRule="exact"/>
        <w:jc w:val="left"/>
        <w:rPr>
          <w:rFonts w:ascii="仿宋_GB2312" w:hAnsi="方正小标宋简体" w:eastAsia="仿宋_GB2312" w:cs="方正小标宋简体"/>
          <w:color w:val="000000" w:themeColor="text1"/>
          <w:sz w:val="28"/>
          <w:szCs w:val="28"/>
        </w:rPr>
      </w:pPr>
    </w:p>
    <w:p>
      <w:pPr>
        <w:widowControl/>
        <w:spacing w:line="580" w:lineRule="exact"/>
        <w:jc w:val="right"/>
        <w:rPr>
          <w:rFonts w:ascii="仿宋_GB2312" w:hAnsi="方正小标宋简体" w:eastAsia="仿宋_GB2312" w:cs="方正小标宋简体"/>
          <w:color w:val="000000" w:themeColor="text1"/>
          <w:sz w:val="28"/>
          <w:szCs w:val="28"/>
        </w:rPr>
      </w:pPr>
      <w:r>
        <w:rPr>
          <w:rFonts w:hint="eastAsia" w:ascii="仿宋_GB2312" w:hAnsi="方正小标宋简体" w:eastAsia="仿宋_GB2312" w:cs="方正小标宋简体"/>
          <w:color w:val="000000" w:themeColor="text1"/>
          <w:sz w:val="28"/>
          <w:szCs w:val="28"/>
        </w:rPr>
        <w:t>学校确认（盖章）</w:t>
      </w:r>
    </w:p>
    <w:p>
      <w:pPr>
        <w:widowControl/>
        <w:spacing w:line="580" w:lineRule="exact"/>
        <w:jc w:val="right"/>
        <w:rPr>
          <w:rFonts w:ascii="仿宋_GB2312" w:hAnsi="仿宋_GB2312" w:eastAsia="仿宋_GB2312" w:cs="仿宋_GB2312"/>
          <w:color w:val="000000" w:themeColor="text1"/>
          <w:sz w:val="32"/>
          <w:szCs w:val="32"/>
        </w:rPr>
      </w:pPr>
      <w:r>
        <w:rPr>
          <w:rFonts w:hint="eastAsia" w:ascii="仿宋_GB2312" w:hAnsi="方正小标宋简体" w:eastAsia="仿宋_GB2312" w:cs="方正小标宋简体"/>
          <w:color w:val="000000" w:themeColor="text1"/>
          <w:sz w:val="32"/>
          <w:szCs w:val="32"/>
        </w:rPr>
        <w:t>年 月 日</w:t>
      </w:r>
      <w:bookmarkStart w:id="0" w:name="_GoBack"/>
      <w:bookmarkEnd w:id="0"/>
    </w:p>
    <w:sectPr>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474C5D-32BF-4A74-82D3-20EF58F6AB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1B373B3-6B46-4D74-8777-7538133F79FD}"/>
  </w:font>
  <w:font w:name="仿宋_GB2312">
    <w:panose1 w:val="02010609030101010101"/>
    <w:charset w:val="86"/>
    <w:family w:val="modern"/>
    <w:pitch w:val="default"/>
    <w:sig w:usb0="00000001" w:usb1="080E0000" w:usb2="00000000" w:usb3="00000000" w:csb0="00040000" w:csb1="00000000"/>
    <w:embedRegular r:id="rId3" w:fontKey="{CB926864-A5C4-401E-A0E5-9E24FB6019E0}"/>
  </w:font>
  <w:font w:name="Segoe UI">
    <w:panose1 w:val="020B0502040204020203"/>
    <w:charset w:val="00"/>
    <w:family w:val="swiss"/>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embedRegular r:id="rId4" w:fontKey="{144EF793-7CB4-49FD-B474-302CDFB0A16E}"/>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5" w:fontKey="{BEA4428F-08AE-4DEC-BA78-2AC79CB3B5B7}"/>
  </w:font>
  <w:font w:name="Th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rPr>
                    <w:rStyle w:val="11"/>
                    <w:rFonts w:hint="eastAsia" w:ascii="宋体" w:hAnsi="宋体" w:cs="宋体"/>
                    <w:sz w:val="28"/>
                    <w:szCs w:val="28"/>
                  </w:rPr>
                  <w:t xml:space="preserve">— </w:t>
                </w: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1</w:t>
                </w:r>
                <w:r>
                  <w:rPr>
                    <w:rFonts w:hint="eastAsia" w:ascii="宋体" w:hAnsi="宋体" w:cs="宋体"/>
                    <w:sz w:val="28"/>
                    <w:szCs w:val="28"/>
                  </w:rPr>
                  <w:fldChar w:fldCharType="end"/>
                </w:r>
                <w:r>
                  <w:rPr>
                    <w:rStyle w:val="11"/>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C6C764"/>
    <w:multiLevelType w:val="singleLevel"/>
    <w:tmpl w:val="F0C6C764"/>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8662BF"/>
    <w:rsid w:val="001B2245"/>
    <w:rsid w:val="002624D6"/>
    <w:rsid w:val="002D61AF"/>
    <w:rsid w:val="004155A0"/>
    <w:rsid w:val="004C5061"/>
    <w:rsid w:val="00612FBF"/>
    <w:rsid w:val="00691121"/>
    <w:rsid w:val="008450B0"/>
    <w:rsid w:val="00872BED"/>
    <w:rsid w:val="008E2447"/>
    <w:rsid w:val="009F14AE"/>
    <w:rsid w:val="00DE3C07"/>
    <w:rsid w:val="00E059F1"/>
    <w:rsid w:val="00E70144"/>
    <w:rsid w:val="02583D90"/>
    <w:rsid w:val="027F50AE"/>
    <w:rsid w:val="08E472A1"/>
    <w:rsid w:val="08F940F2"/>
    <w:rsid w:val="09F27A47"/>
    <w:rsid w:val="146E47B8"/>
    <w:rsid w:val="14E7478E"/>
    <w:rsid w:val="16BD60B3"/>
    <w:rsid w:val="17524CD9"/>
    <w:rsid w:val="1BD20D0E"/>
    <w:rsid w:val="204D3B6B"/>
    <w:rsid w:val="220B7D6E"/>
    <w:rsid w:val="22C228F8"/>
    <w:rsid w:val="22D42434"/>
    <w:rsid w:val="26A14172"/>
    <w:rsid w:val="2F863A59"/>
    <w:rsid w:val="33E7744D"/>
    <w:rsid w:val="382637A8"/>
    <w:rsid w:val="3A4140A4"/>
    <w:rsid w:val="3D711EEE"/>
    <w:rsid w:val="407D5C80"/>
    <w:rsid w:val="40FE2E51"/>
    <w:rsid w:val="45F21F09"/>
    <w:rsid w:val="473E15EC"/>
    <w:rsid w:val="477219BC"/>
    <w:rsid w:val="51347DF3"/>
    <w:rsid w:val="5CEE2002"/>
    <w:rsid w:val="5D5A0455"/>
    <w:rsid w:val="60306CFA"/>
    <w:rsid w:val="66C71146"/>
    <w:rsid w:val="672C3AB8"/>
    <w:rsid w:val="70A51BF5"/>
    <w:rsid w:val="77E03751"/>
    <w:rsid w:val="798662BF"/>
    <w:rsid w:val="7D70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仿宋_GB2312" w:eastAsia="仿宋_GB2312"/>
      <w:kern w:val="0"/>
      <w:sz w:val="28"/>
    </w:rPr>
  </w:style>
  <w:style w:type="paragraph" w:styleId="5">
    <w:name w:val="Balloon Text"/>
    <w:basedOn w:val="1"/>
    <w:link w:val="13"/>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basedOn w:val="10"/>
    <w:qFormat/>
    <w:uiPriority w:val="0"/>
  </w:style>
  <w:style w:type="paragraph" w:customStyle="1" w:styleId="12">
    <w:name w:val="列出段落3"/>
    <w:basedOn w:val="1"/>
    <w:qFormat/>
    <w:uiPriority w:val="0"/>
    <w:pPr>
      <w:ind w:firstLine="420" w:firstLineChars="200"/>
    </w:pPr>
    <w:rPr>
      <w:rFonts w:ascii="Calibri" w:hAnsi="Calibri" w:cs="宋体"/>
      <w:szCs w:val="22"/>
    </w:rPr>
  </w:style>
  <w:style w:type="character" w:customStyle="1" w:styleId="13">
    <w:name w:val="批注框文本 Char"/>
    <w:basedOn w:val="10"/>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18935</Words>
  <Characters>2322</Characters>
  <Lines>19</Lines>
  <Paragraphs>42</Paragraphs>
  <TotalTime>38</TotalTime>
  <ScaleCrop>false</ScaleCrop>
  <LinksUpToDate>false</LinksUpToDate>
  <CharactersWithSpaces>21215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2020-11-20T04:08:00Z</dcterms:created>
  <dc:creator>Mary</dc:creator>
  <cp:lastModifiedBy>德恒-DH</cp:lastModifiedBy>
  <dcterms:modified xsi:type="dcterms:W3CDTF">2020-11-24T09:49:44Z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