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580" w:lineRule="exact"/>
        <w:jc w:val="both"/>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附件</w:t>
      </w:r>
      <w:r>
        <w:rPr>
          <w:rFonts w:hint="eastAsia" w:ascii="黑体" w:hAnsi="黑体" w:eastAsia="黑体" w:cs="黑体"/>
          <w:color w:val="000000" w:themeColor="text1"/>
          <w:sz w:val="32"/>
          <w:szCs w:val="32"/>
          <w:lang w:val="en-US" w:eastAsia="zh-CN"/>
        </w:rPr>
        <w:t>2</w:t>
      </w:r>
    </w:p>
    <w:p>
      <w:pPr>
        <w:snapToGrid w:val="0"/>
        <w:spacing w:line="580" w:lineRule="exact"/>
        <w:jc w:val="center"/>
        <w:rPr>
          <w:rFonts w:hint="eastAsia" w:ascii="方正小标宋简体" w:eastAsia="方正小标宋简体"/>
          <w:color w:val="000000" w:themeColor="text1"/>
          <w:sz w:val="44"/>
          <w:szCs w:val="44"/>
        </w:rPr>
      </w:pPr>
    </w:p>
    <w:p>
      <w:pPr>
        <w:snapToGrid w:val="0"/>
        <w:spacing w:line="580" w:lineRule="exact"/>
        <w:jc w:val="center"/>
        <w:rPr>
          <w:rFonts w:ascii="方正小标宋简体" w:eastAsia="方正小标宋简体"/>
          <w:color w:val="000000" w:themeColor="text1"/>
          <w:sz w:val="44"/>
          <w:szCs w:val="44"/>
        </w:rPr>
      </w:pPr>
      <w:bookmarkStart w:id="0" w:name="_GoBack"/>
      <w:r>
        <w:rPr>
          <w:rFonts w:hint="eastAsia" w:ascii="方正小标宋简体" w:eastAsia="方正小标宋简体"/>
          <w:color w:val="000000" w:themeColor="text1"/>
          <w:sz w:val="44"/>
          <w:szCs w:val="44"/>
        </w:rPr>
        <w:t>深圳市普通高中音乐学业水平考试</w:t>
      </w:r>
    </w:p>
    <w:p>
      <w:pPr>
        <w:snapToGrid w:val="0"/>
        <w:spacing w:line="58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实施方案</w:t>
      </w:r>
    </w:p>
    <w:bookmarkEnd w:id="0"/>
    <w:p>
      <w:pPr>
        <w:snapToGrid w:val="0"/>
        <w:spacing w:line="580" w:lineRule="exact"/>
        <w:jc w:val="center"/>
        <w:rPr>
          <w:b/>
          <w:color w:val="000000" w:themeColor="text1"/>
          <w:sz w:val="28"/>
          <w:szCs w:val="28"/>
        </w:rPr>
      </w:pPr>
    </w:p>
    <w:p>
      <w:pPr>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贯彻落实《广东省教育厅关于印发广东省普通高中学业水平考试实施办法的通知》（粤教考〔2019〕18号）和《广东省教育厅关于普通高中体育与健康等科目学业水平考试工作的指导意见》（粤教考〔2019〕19号）精神，依据《普通高中音乐课程标准（2017年版2020年修订）》，结合我市实际，制定本实施方案。</w:t>
      </w:r>
    </w:p>
    <w:p>
      <w:pPr>
        <w:widowControl w:val="0"/>
        <w:shd w:val="clear" w:color="auto" w:fill="FFFFFF"/>
        <w:snapToGrid w:val="0"/>
        <w:spacing w:line="580" w:lineRule="exact"/>
        <w:ind w:firstLine="640" w:firstLineChars="200"/>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一、指导思想</w:t>
      </w:r>
    </w:p>
    <w:p>
      <w:pPr>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全面贯彻党的教育方针</w:t>
      </w:r>
      <w:r>
        <w:rPr>
          <w:rFonts w:hint="eastAsia" w:ascii="仿宋_GB2312" w:hAnsi="宋体" w:eastAsia="仿宋_GB2312"/>
          <w:color w:val="000000" w:themeColor="text1"/>
          <w:sz w:val="32"/>
          <w:szCs w:val="32"/>
        </w:rPr>
        <w:t>和《中共中央、国务院关于支持深圳建设中国特色社会主义先行示范区的意见》精神</w:t>
      </w:r>
      <w:r>
        <w:rPr>
          <w:rFonts w:hint="eastAsia" w:ascii="仿宋_GB2312" w:hAnsi="仿宋_GB2312" w:eastAsia="仿宋_GB2312" w:cs="仿宋_GB2312"/>
          <w:color w:val="000000" w:themeColor="text1"/>
          <w:sz w:val="32"/>
          <w:szCs w:val="32"/>
        </w:rPr>
        <w:t>，以立德树人为根本任务，以改进学校美育工作，提高学生审美和人文素养为主要目标，逐步形成科学有效的美育评价、监测、督导和问责机制，促进学校开齐开足上好音乐课程，通过建立课堂教学、课外活动、校园文化三位一体的学校美育机制，指导帮助学生形成1-2项音乐特长，不断提升学生感受美、表现美、鉴赏美、创造美的能力。</w:t>
      </w:r>
    </w:p>
    <w:p>
      <w:pPr>
        <w:widowControl w:val="0"/>
        <w:shd w:val="clear" w:color="auto" w:fill="FFFFFF"/>
        <w:snapToGrid w:val="0"/>
        <w:spacing w:line="580" w:lineRule="exact"/>
        <w:ind w:firstLine="640"/>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二、基本原则</w:t>
      </w:r>
    </w:p>
    <w:p>
      <w:pPr>
        <w:widowControl w:val="0"/>
        <w:snapToGrid w:val="0"/>
        <w:spacing w:line="580" w:lineRule="exact"/>
        <w:ind w:firstLine="643" w:firstLineChars="200"/>
        <w:jc w:val="left"/>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（一）导向性原则</w:t>
      </w:r>
    </w:p>
    <w:p>
      <w:pPr>
        <w:widowControl w:val="0"/>
        <w:snapToGrid w:val="0"/>
        <w:spacing w:line="58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普通高中音乐学业水平考试为合格性考试。目的是促进学生在音乐课程日常学习中形成审美意识、审美经验，不断提高学生的音乐素养。同时，引导学校加强和改进美育教学工作，深入推进学校美育改革发展。</w:t>
      </w:r>
    </w:p>
    <w:p>
      <w:pPr>
        <w:widowControl w:val="0"/>
        <w:snapToGrid w:val="0"/>
        <w:spacing w:line="580" w:lineRule="exact"/>
        <w:ind w:firstLine="643" w:firstLineChars="200"/>
        <w:jc w:val="left"/>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（二）科学性原则</w:t>
      </w:r>
    </w:p>
    <w:p>
      <w:pPr>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考试指标的确定，应当以音乐科目的特点和不同教学模块的内容标准为依据，体现普通高中音乐课程的性质，符合高中学生身心发展的特点和音乐教育规律。坚持过程性原则，把考试融进教学的全过程，形成科学有效的考试评价制度。</w:t>
      </w:r>
    </w:p>
    <w:p>
      <w:pPr>
        <w:widowControl w:val="0"/>
        <w:snapToGrid w:val="0"/>
        <w:spacing w:line="580" w:lineRule="exact"/>
        <w:ind w:firstLine="643" w:firstLineChars="200"/>
        <w:jc w:val="left"/>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（三）自主选择原则</w:t>
      </w:r>
    </w:p>
    <w:p>
      <w:pPr>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为学生提供更多自主选择考试项目的机会，促进学生发展学科兴趣与个性特长，促进学生个性化、多样化发展，为学生健康、全面发展创造有利条件。</w:t>
      </w:r>
    </w:p>
    <w:p>
      <w:pPr>
        <w:snapToGrid w:val="0"/>
        <w:spacing w:line="580" w:lineRule="exact"/>
        <w:ind w:firstLine="643" w:firstLineChars="200"/>
        <w:jc w:val="left"/>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（四）公平公正原则</w:t>
      </w:r>
    </w:p>
    <w:p>
      <w:pPr>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把促进公平公正作为合格考试的基本要求，明确标准，规范程序，加强监督，切实保障考试程序公开、结果公正。</w:t>
      </w:r>
    </w:p>
    <w:p>
      <w:pPr>
        <w:snapToGrid w:val="0"/>
        <w:spacing w:line="58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三、考试内容和方式</w:t>
      </w:r>
    </w:p>
    <w:p>
      <w:pPr>
        <w:snapToGrid w:val="0"/>
        <w:spacing w:line="580" w:lineRule="exact"/>
        <w:ind w:firstLine="643" w:firstLineChars="200"/>
        <w:jc w:val="left"/>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（一）考试内容</w:t>
      </w:r>
    </w:p>
    <w:p>
      <w:pPr>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考试内容依据《普通高中音乐课程标准（2017年版2020年修订）》必修模块和选择性必修模块中的1-2个模块的要求，并结合深圳实际，规范考试命题工作。</w:t>
      </w:r>
    </w:p>
    <w:p>
      <w:pPr>
        <w:snapToGrid w:val="0"/>
        <w:spacing w:line="580" w:lineRule="exact"/>
        <w:ind w:firstLine="643" w:firstLineChars="200"/>
        <w:jc w:val="left"/>
        <w:rPr>
          <w:rFonts w:hint="eastAsia"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（二）考试方式</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普通高中音乐学业水平考试采用“过程性评价+专项测试+必修课程测试”的方式进行</w:t>
      </w:r>
      <w:r>
        <w:rPr>
          <w:rFonts w:hint="eastAsia" w:ascii="仿宋_GB2312" w:hAnsi="宋体" w:eastAsia="仿宋_GB2312"/>
          <w:color w:val="000000" w:themeColor="text1"/>
          <w:kern w:val="0"/>
          <w:sz w:val="32"/>
          <w:szCs w:val="32"/>
        </w:rPr>
        <w:t>。</w:t>
      </w:r>
    </w:p>
    <w:p>
      <w:pPr>
        <w:widowControl w:val="0"/>
        <w:snapToGrid w:val="0"/>
        <w:spacing w:line="58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rPr>
        <w:t>1.过程性评价。</w:t>
      </w:r>
      <w:r>
        <w:rPr>
          <w:rFonts w:hint="eastAsia" w:ascii="仿宋_GB2312" w:hAnsi="仿宋_GB2312" w:eastAsia="仿宋_GB2312" w:cs="仿宋_GB2312"/>
          <w:color w:val="000000" w:themeColor="text1"/>
          <w:sz w:val="32"/>
          <w:szCs w:val="32"/>
        </w:rPr>
        <w:t>学校在每学期末对学生的音乐课程（含必修、选修模块）学习成绩、学习态度、课堂表现及参与美育实践活动的经历等予以评定。过程性评价由学校在每学期末参照《深圳市普通高中音乐学业水平考试过程性评价建议表》为每个学生予以评定。</w:t>
      </w:r>
    </w:p>
    <w:p>
      <w:pPr>
        <w:widowControl w:val="0"/>
        <w:snapToGrid w:val="0"/>
        <w:spacing w:line="58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2.专项测试。</w:t>
      </w:r>
      <w:r>
        <w:rPr>
          <w:rFonts w:hint="eastAsia" w:ascii="仿宋_GB2312" w:hAnsi="仿宋_GB2312" w:eastAsia="仿宋_GB2312" w:cs="仿宋_GB2312"/>
          <w:color w:val="000000" w:themeColor="text1"/>
          <w:sz w:val="32"/>
          <w:szCs w:val="32"/>
        </w:rPr>
        <w:t>学生在歌唱（含合唱）、演奏（含合奏）、舞蹈表演（含群舞）、戏剧表演（含集体表演）、音乐基础理论和视唱练耳中自主选择1-2项音乐技能进行实践考核。以学生实际能力测试为主，着重考查学生实践活动中的音乐表现和创意实践方面的能力和特长。</w:t>
      </w:r>
    </w:p>
    <w:p>
      <w:pPr>
        <w:snapToGrid w:val="0"/>
        <w:spacing w:line="580" w:lineRule="exact"/>
        <w:ind w:firstLine="645"/>
        <w:rPr>
          <w:rFonts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themeColor="text1"/>
          <w:sz w:val="32"/>
          <w:szCs w:val="32"/>
        </w:rPr>
        <w:t>3.必修课程测试。</w:t>
      </w:r>
      <w:r>
        <w:rPr>
          <w:rFonts w:hint="eastAsia" w:ascii="仿宋_GB2312" w:hAnsi="仿宋_GB2312" w:eastAsia="仿宋_GB2312" w:cs="仿宋_GB2312"/>
          <w:color w:val="000000" w:themeColor="text1"/>
          <w:sz w:val="32"/>
          <w:szCs w:val="32"/>
        </w:rPr>
        <w:t>采用笔试或计算机测试的方式，主要用于音乐鉴赏或基础理论等知识类的测试。测试学生对基础知识与基础技能的掌握情况及在审美感知、艺术表现和文化理解三个方面的核心素养。测试的内容以必修课程内容为主。</w:t>
      </w:r>
    </w:p>
    <w:p>
      <w:pPr>
        <w:snapToGrid w:val="0"/>
        <w:spacing w:line="580" w:lineRule="exact"/>
        <w:ind w:firstLine="640" w:firstLineChars="200"/>
        <w:rPr>
          <w:rFonts w:hAnsi="宋体" w:eastAsia="黑体"/>
          <w:bCs/>
          <w:color w:val="000000" w:themeColor="text1"/>
          <w:kern w:val="0"/>
          <w:sz w:val="32"/>
          <w:szCs w:val="32"/>
        </w:rPr>
      </w:pPr>
      <w:r>
        <w:rPr>
          <w:rFonts w:hint="eastAsia" w:hAnsi="宋体" w:eastAsia="黑体"/>
          <w:bCs/>
          <w:color w:val="000000" w:themeColor="text1"/>
          <w:kern w:val="0"/>
          <w:sz w:val="32"/>
          <w:szCs w:val="32"/>
        </w:rPr>
        <w:t>四、考试对象和时间</w:t>
      </w:r>
    </w:p>
    <w:p>
      <w:pPr>
        <w:snapToGrid w:val="0"/>
        <w:spacing w:line="580" w:lineRule="exact"/>
        <w:ind w:firstLine="64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具有普通高中学籍的在校学生和申请普通高中同等学力的人员均应参加普通高中音乐学业水平考试。</w:t>
      </w:r>
    </w:p>
    <w:p>
      <w:pPr>
        <w:snapToGrid w:val="0"/>
        <w:spacing w:line="580" w:lineRule="exact"/>
        <w:ind w:firstLine="640" w:firstLineChars="200"/>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首次必修课程测试安排在第3学期末，有特殊情况需补考的，与同下一学年度学生一起安排补考。专项测试统一安排在第4学期进行，</w:t>
      </w:r>
      <w:r>
        <w:rPr>
          <w:rFonts w:hint="eastAsia" w:ascii="仿宋_GB2312" w:hAnsi="仿宋_GB2312" w:eastAsia="仿宋_GB2312" w:cs="仿宋_GB2312"/>
          <w:color w:val="000000" w:themeColor="text1"/>
          <w:kern w:val="0"/>
          <w:sz w:val="32"/>
          <w:szCs w:val="32"/>
        </w:rPr>
        <w:t>在模块修习结束后，学校组织开展集中测试或在音乐课堂中随堂进行。</w:t>
      </w:r>
      <w:r>
        <w:rPr>
          <w:rFonts w:hint="eastAsia" w:ascii="仿宋_GB2312" w:hAnsi="仿宋_GB2312" w:eastAsia="仿宋_GB2312" w:cs="仿宋_GB2312"/>
          <w:color w:val="000000" w:themeColor="text1"/>
          <w:sz w:val="32"/>
          <w:szCs w:val="32"/>
        </w:rPr>
        <w:t>申请同等学力人员参加专项测试和</w:t>
      </w:r>
      <w:r>
        <w:rPr>
          <w:rFonts w:hint="eastAsia" w:ascii="仿宋_GB2312" w:eastAsia="仿宋_GB2312"/>
          <w:color w:val="000000" w:themeColor="text1"/>
          <w:sz w:val="32"/>
          <w:szCs w:val="32"/>
        </w:rPr>
        <w:t>必修课程测试。</w:t>
      </w:r>
    </w:p>
    <w:p>
      <w:pPr>
        <w:snapToGrid w:val="0"/>
        <w:spacing w:line="580" w:lineRule="exact"/>
        <w:ind w:firstLine="640" w:firstLineChars="200"/>
        <w:rPr>
          <w:rFonts w:hAnsi="宋体" w:eastAsia="黑体"/>
          <w:bCs/>
          <w:color w:val="000000" w:themeColor="text1"/>
          <w:kern w:val="0"/>
          <w:sz w:val="32"/>
          <w:szCs w:val="32"/>
        </w:rPr>
      </w:pPr>
      <w:r>
        <w:rPr>
          <w:rFonts w:hint="eastAsia" w:hAnsi="宋体" w:eastAsia="黑体"/>
          <w:bCs/>
          <w:color w:val="000000" w:themeColor="text1"/>
          <w:kern w:val="0"/>
          <w:sz w:val="32"/>
          <w:szCs w:val="32"/>
        </w:rPr>
        <w:t>五、考试组织实施</w:t>
      </w:r>
    </w:p>
    <w:p>
      <w:pPr>
        <w:pStyle w:val="12"/>
        <w:snapToGrid w:val="0"/>
        <w:spacing w:line="58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普通高中音乐科目学业水平考试过程性评价</w:t>
      </w:r>
      <w:r>
        <w:rPr>
          <w:rFonts w:hint="eastAsia" w:ascii="仿宋_GB2312" w:hAnsi="宋体" w:eastAsia="仿宋_GB2312"/>
          <w:color w:val="000000" w:themeColor="text1"/>
          <w:kern w:val="0"/>
          <w:sz w:val="32"/>
          <w:szCs w:val="32"/>
        </w:rPr>
        <w:t>和专项测试由学校组织实施</w:t>
      </w:r>
      <w:r>
        <w:rPr>
          <w:rFonts w:hint="eastAsia" w:ascii="仿宋_GB2312" w:hAnsi="仿宋_GB2312" w:eastAsia="仿宋_GB2312" w:cs="仿宋_GB2312"/>
          <w:color w:val="000000" w:themeColor="text1"/>
          <w:sz w:val="32"/>
          <w:szCs w:val="32"/>
        </w:rPr>
        <w:t>。</w:t>
      </w:r>
      <w:r>
        <w:rPr>
          <w:rFonts w:hint="eastAsia" w:ascii="仿宋_GB2312" w:eastAsia="仿宋_GB2312"/>
          <w:color w:val="000000" w:themeColor="text1"/>
          <w:sz w:val="32"/>
          <w:szCs w:val="32"/>
        </w:rPr>
        <w:t>必修课程测试</w:t>
      </w:r>
      <w:r>
        <w:rPr>
          <w:rFonts w:hint="eastAsia" w:ascii="仿宋_GB2312" w:hAnsi="仿宋_GB2312" w:eastAsia="仿宋_GB2312" w:cs="仿宋_GB2312"/>
          <w:color w:val="000000" w:themeColor="text1"/>
          <w:sz w:val="32"/>
          <w:szCs w:val="32"/>
        </w:rPr>
        <w:t>由市教科院统一提供试题。区教育行政部门统一组织，学校具体实施。</w:t>
      </w:r>
    </w:p>
    <w:p>
      <w:pPr>
        <w:snapToGrid w:val="0"/>
        <w:spacing w:line="58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六、考试成绩呈现</w:t>
      </w:r>
    </w:p>
    <w:p>
      <w:pPr>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普通高中音乐学科学业水平考试总成绩为：过程性评价×20%+专项测试×30%+必修课程测试×50%。申请同等学力人员的总成绩为：专项测试×40%+必修课程测试×60%。最终成绩呈现方式为“合格”或“不合格”。考试不合格的，专项测试和必修课程测试可根据考试安排参加补考。</w:t>
      </w:r>
    </w:p>
    <w:p>
      <w:pPr>
        <w:snapToGrid w:val="0"/>
        <w:spacing w:line="58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七、免考、缓考及其他特殊政策</w:t>
      </w:r>
    </w:p>
    <w:p>
      <w:pPr>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对因病、残不能参加音乐专项测试的考生，可视病、残程度，申请免考或缓考。免考限声带、听力、视力、语言障碍等。</w:t>
      </w:r>
      <w:r>
        <w:rPr>
          <w:rFonts w:hint="eastAsia" w:ascii="仿宋_GB2312" w:hAnsi="仿宋_GB2312" w:eastAsia="仿宋_GB2312" w:cs="仿宋_GB2312"/>
          <w:color w:val="000000" w:themeColor="text1"/>
          <w:sz w:val="32"/>
          <w:szCs w:val="32"/>
        </w:rPr>
        <w:t>申请免考或缓考的考生须持残联颁发的残疾人证明或三甲以上医院的诊断证明（就医病历），经学校同意并加盖公章后，由学校汇总报区教育行政部门</w:t>
      </w:r>
      <w:r>
        <w:rPr>
          <w:rFonts w:hint="eastAsia" w:ascii="仿宋_GB2312" w:hAnsi="宋体" w:eastAsia="仿宋_GB2312"/>
          <w:color w:val="000000" w:themeColor="text1"/>
          <w:kern w:val="0"/>
          <w:sz w:val="32"/>
          <w:szCs w:val="32"/>
        </w:rPr>
        <w:t>认定。免考学生专项测试成绩认定为“免考合格”。</w:t>
      </w:r>
    </w:p>
    <w:p>
      <w:pPr>
        <w:snapToGrid w:val="0"/>
        <w:spacing w:line="580" w:lineRule="exact"/>
        <w:ind w:firstLine="646" w:firstLineChars="202"/>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八、工作要求</w:t>
      </w:r>
    </w:p>
    <w:p>
      <w:pPr>
        <w:pStyle w:val="12"/>
        <w:snapToGrid w:val="0"/>
        <w:spacing w:line="580" w:lineRule="exact"/>
        <w:ind w:firstLine="64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（一）加强组织领导</w:t>
      </w:r>
    </w:p>
    <w:p>
      <w:pPr>
        <w:pStyle w:val="12"/>
        <w:snapToGrid w:val="0"/>
        <w:spacing w:line="580" w:lineRule="exact"/>
        <w:ind w:firstLine="640"/>
        <w:rPr>
          <w:rFonts w:ascii="仿宋_GB2312"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各区教育行政部门、各学校要</w:t>
      </w:r>
      <w:r>
        <w:rPr>
          <w:rFonts w:hint="eastAsia" w:ascii="Times New Roman" w:hAnsi="Times New Roman" w:eastAsia="仿宋_GB2312" w:cs="Times New Roman"/>
          <w:color w:val="000000" w:themeColor="text1"/>
          <w:kern w:val="15"/>
          <w:sz w:val="32"/>
          <w:szCs w:val="32"/>
        </w:rPr>
        <w:t>高度重视，</w:t>
      </w:r>
      <w:r>
        <w:rPr>
          <w:rFonts w:hint="eastAsia" w:ascii="仿宋_GB2312" w:hAnsi="仿宋_GB2312" w:eastAsia="仿宋_GB2312" w:cs="仿宋_GB2312"/>
          <w:color w:val="000000" w:themeColor="text1"/>
          <w:sz w:val="32"/>
          <w:szCs w:val="32"/>
        </w:rPr>
        <w:t>成立音乐学业水平考试工作领导小组，</w:t>
      </w:r>
      <w:r>
        <w:rPr>
          <w:rFonts w:hint="eastAsia" w:ascii="Times New Roman" w:hAnsi="Times New Roman" w:eastAsia="仿宋_GB2312" w:cs="Times New Roman"/>
          <w:color w:val="000000" w:themeColor="text1"/>
          <w:kern w:val="15"/>
          <w:sz w:val="32"/>
          <w:szCs w:val="32"/>
        </w:rPr>
        <w:t>制定周全的考试应急预案。</w:t>
      </w:r>
      <w:r>
        <w:rPr>
          <w:rFonts w:hint="eastAsia" w:ascii="仿宋_GB2312" w:hAnsi="宋体" w:eastAsia="仿宋_GB2312"/>
          <w:color w:val="000000" w:themeColor="text1"/>
          <w:kern w:val="0"/>
          <w:sz w:val="32"/>
          <w:szCs w:val="32"/>
        </w:rPr>
        <w:t>各学校根据本实施办法制定本校高中学生</w:t>
      </w:r>
      <w:r>
        <w:rPr>
          <w:rFonts w:hint="eastAsia" w:ascii="仿宋_GB2312" w:hAnsi="仿宋_GB2312" w:eastAsia="仿宋_GB2312" w:cs="仿宋_GB2312"/>
          <w:color w:val="000000" w:themeColor="text1"/>
          <w:sz w:val="32"/>
          <w:szCs w:val="32"/>
        </w:rPr>
        <w:t>音乐</w:t>
      </w:r>
      <w:r>
        <w:rPr>
          <w:rFonts w:hint="eastAsia" w:ascii="仿宋_GB2312" w:hAnsi="宋体" w:eastAsia="仿宋_GB2312" w:cs="仿宋_GB2312"/>
          <w:color w:val="000000" w:themeColor="text1"/>
          <w:sz w:val="32"/>
          <w:szCs w:val="32"/>
          <w:lang w:val="zh-CN"/>
        </w:rPr>
        <w:t>学业水平考试</w:t>
      </w:r>
      <w:r>
        <w:rPr>
          <w:rFonts w:hint="eastAsia" w:ascii="仿宋_GB2312" w:hAnsi="仿宋_GB2312" w:eastAsia="仿宋_GB2312" w:cs="仿宋_GB2312"/>
          <w:color w:val="000000" w:themeColor="text1"/>
          <w:sz w:val="32"/>
          <w:szCs w:val="32"/>
        </w:rPr>
        <w:t>过程性评价</w:t>
      </w:r>
      <w:r>
        <w:rPr>
          <w:rFonts w:hint="eastAsia" w:ascii="仿宋_GB2312" w:hAnsi="宋体" w:eastAsia="仿宋_GB2312"/>
          <w:color w:val="000000" w:themeColor="text1"/>
          <w:kern w:val="0"/>
          <w:sz w:val="32"/>
          <w:szCs w:val="32"/>
        </w:rPr>
        <w:t>和专项测试</w:t>
      </w:r>
      <w:r>
        <w:rPr>
          <w:rFonts w:hint="eastAsia" w:ascii="仿宋_GB2312" w:hAnsi="宋体" w:eastAsia="仿宋_GB2312" w:cs="仿宋_GB2312"/>
          <w:color w:val="000000" w:themeColor="text1"/>
          <w:sz w:val="32"/>
          <w:szCs w:val="32"/>
          <w:lang w:val="zh-CN"/>
        </w:rPr>
        <w:t>实施细则</w:t>
      </w:r>
      <w:r>
        <w:rPr>
          <w:rFonts w:hint="eastAsia" w:ascii="仿宋_GB2312" w:hAnsi="仿宋_GB2312" w:eastAsia="仿宋_GB2312" w:cs="仿宋_GB2312"/>
          <w:color w:val="000000" w:themeColor="text1"/>
          <w:sz w:val="32"/>
          <w:szCs w:val="32"/>
        </w:rPr>
        <w:t>，</w:t>
      </w:r>
      <w:r>
        <w:rPr>
          <w:rFonts w:hint="eastAsia" w:ascii="仿宋_GB2312" w:hAnsi="宋体" w:eastAsia="仿宋_GB2312"/>
          <w:color w:val="000000" w:themeColor="text1"/>
          <w:kern w:val="0"/>
          <w:sz w:val="32"/>
          <w:szCs w:val="32"/>
        </w:rPr>
        <w:t>报区教育行政部门备案。</w:t>
      </w:r>
    </w:p>
    <w:p>
      <w:pPr>
        <w:snapToGrid w:val="0"/>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（二）加强教学管理</w:t>
      </w:r>
    </w:p>
    <w:p>
      <w:pPr>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各学校要严格落实《</w:t>
      </w:r>
      <w:r>
        <w:rPr>
          <w:rFonts w:hint="eastAsia" w:eastAsia="仿宋_GB2312"/>
          <w:color w:val="000000" w:themeColor="text1"/>
          <w:kern w:val="15"/>
          <w:sz w:val="32"/>
          <w:szCs w:val="32"/>
        </w:rPr>
        <w:t>普通高中</w:t>
      </w:r>
      <w:r>
        <w:rPr>
          <w:rFonts w:hint="eastAsia" w:ascii="仿宋_GB2312" w:hAnsi="仿宋_GB2312" w:eastAsia="仿宋_GB2312" w:cs="仿宋_GB2312"/>
          <w:color w:val="000000" w:themeColor="text1"/>
          <w:sz w:val="32"/>
          <w:szCs w:val="32"/>
        </w:rPr>
        <w:t>音乐</w:t>
      </w:r>
      <w:r>
        <w:rPr>
          <w:rFonts w:hint="eastAsia" w:eastAsia="仿宋_GB2312"/>
          <w:color w:val="000000" w:themeColor="text1"/>
          <w:kern w:val="15"/>
          <w:sz w:val="32"/>
          <w:szCs w:val="32"/>
        </w:rPr>
        <w:t>课程标准（</w:t>
      </w:r>
      <w:r>
        <w:rPr>
          <w:rFonts w:hint="eastAsia" w:ascii="仿宋_GB2312" w:hAnsi="仿宋_GB2312" w:eastAsia="仿宋_GB2312" w:cs="仿宋_GB2312"/>
          <w:color w:val="000000" w:themeColor="text1"/>
          <w:kern w:val="15"/>
          <w:sz w:val="32"/>
          <w:szCs w:val="32"/>
        </w:rPr>
        <w:t>2017</w:t>
      </w:r>
      <w:r>
        <w:rPr>
          <w:rFonts w:hint="eastAsia" w:eastAsia="仿宋_GB2312"/>
          <w:color w:val="000000" w:themeColor="text1"/>
          <w:kern w:val="15"/>
          <w:sz w:val="32"/>
          <w:szCs w:val="32"/>
        </w:rPr>
        <w:t>年版</w:t>
      </w:r>
      <w:r>
        <w:rPr>
          <w:rFonts w:hint="eastAsia" w:ascii="仿宋_GB2312" w:hAnsi="仿宋_GB2312" w:eastAsia="仿宋_GB2312" w:cs="仿宋_GB2312"/>
          <w:color w:val="000000" w:themeColor="text1"/>
          <w:kern w:val="15"/>
          <w:sz w:val="32"/>
          <w:szCs w:val="32"/>
        </w:rPr>
        <w:t>2020</w:t>
      </w:r>
      <w:r>
        <w:rPr>
          <w:rFonts w:hint="eastAsia" w:eastAsia="仿宋_GB2312"/>
          <w:color w:val="000000" w:themeColor="text1"/>
          <w:kern w:val="15"/>
          <w:sz w:val="32"/>
          <w:szCs w:val="32"/>
        </w:rPr>
        <w:t>年修订）》</w:t>
      </w:r>
      <w:r>
        <w:rPr>
          <w:rFonts w:hint="eastAsia" w:ascii="仿宋_GB2312" w:hAnsi="宋体" w:eastAsia="仿宋_GB2312"/>
          <w:color w:val="000000" w:themeColor="text1"/>
          <w:kern w:val="0"/>
          <w:sz w:val="32"/>
          <w:szCs w:val="32"/>
        </w:rPr>
        <w:t>，合理安排教学进度，严禁压缩课程授课时间，确保开齐开足音乐课程。学校在开设音乐课程时，至少保障在第3学期前全员开足音乐鉴赏18学时（1学分），并按照普通高中音乐课程以音乐鉴赏、歌唱、演奏、音乐编创、音乐与舞蹈、音乐与戏剧六个模块为必修（选学）课程，以合唱、合奏、舞蹈表演、戏剧表演、音乐基础理论、视唱练耳六个模块为选择性必修课程，以学校安排开设、学生自主选择修习的课程为选择课程，必修、选择性必修与选修课程的有机结合及内在联系，构成以培育和发展学生音乐学科核心素养为目标的课程体系，以满足学生不同音乐爱好和特长发展需要。合理调整教学组织方式，满足学生选学的需要，把走班教学落到实处。</w:t>
      </w:r>
    </w:p>
    <w:p>
      <w:pPr>
        <w:snapToGrid w:val="0"/>
        <w:spacing w:line="580" w:lineRule="exact"/>
        <w:ind w:firstLine="643" w:firstLineChars="20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（三）建立结果公示制度</w:t>
      </w:r>
    </w:p>
    <w:p>
      <w:pPr>
        <w:snapToGrid w:val="0"/>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各学校在校内公示学生测试结果。市招考办和区教育行政部门设立和公布监督电话，接受社会监督。</w:t>
      </w:r>
    </w:p>
    <w:p>
      <w:pPr>
        <w:snapToGrid w:val="0"/>
        <w:spacing w:line="580" w:lineRule="exact"/>
        <w:ind w:firstLine="640" w:firstLineChars="200"/>
        <w:rPr>
          <w:rFonts w:ascii="仿宋_GB2312" w:hAnsi="宋体" w:eastAsia="仿宋_GB2312"/>
          <w:color w:val="000000" w:themeColor="text1"/>
          <w:kern w:val="0"/>
          <w:sz w:val="32"/>
          <w:szCs w:val="32"/>
        </w:rPr>
      </w:pPr>
    </w:p>
    <w:p>
      <w:pPr>
        <w:widowControl w:val="0"/>
        <w:snapToGrid w:val="0"/>
        <w:spacing w:line="580" w:lineRule="exact"/>
        <w:ind w:left="1914" w:leftChars="302" w:hanging="1280" w:hangingChars="400"/>
        <w:jc w:val="left"/>
        <w:rPr>
          <w:rFonts w:ascii="仿宋_GB2312" w:hAnsi="仿宋_GB2312" w:eastAsia="仿宋_GB2312" w:cs="仿宋_GB2312"/>
          <w:color w:val="000000" w:themeColor="text1"/>
          <w:spacing w:val="-10"/>
          <w:sz w:val="32"/>
          <w:szCs w:val="32"/>
        </w:rPr>
      </w:pPr>
      <w:r>
        <w:rPr>
          <w:rFonts w:hint="eastAsia" w:ascii="仿宋_GB2312" w:hAnsi="仿宋_GB2312" w:eastAsia="仿宋_GB2312" w:cs="仿宋_GB2312"/>
          <w:color w:val="000000" w:themeColor="text1"/>
          <w:kern w:val="0"/>
          <w:sz w:val="32"/>
          <w:szCs w:val="32"/>
        </w:rPr>
        <w:t>附件：1.</w:t>
      </w:r>
      <w:r>
        <w:rPr>
          <w:rFonts w:hint="eastAsia" w:ascii="仿宋_GB2312" w:hAnsi="仿宋_GB2312" w:eastAsia="仿宋_GB2312" w:cs="仿宋_GB2312"/>
          <w:color w:val="000000" w:themeColor="text1"/>
          <w:spacing w:val="-10"/>
          <w:sz w:val="32"/>
          <w:szCs w:val="32"/>
        </w:rPr>
        <w:t>深圳市普通高中音乐学业水平考试过程性评价建议表</w:t>
      </w:r>
    </w:p>
    <w:p>
      <w:pPr>
        <w:widowControl w:val="0"/>
        <w:numPr>
          <w:ilvl w:val="-1"/>
          <w:numId w:val="0"/>
        </w:numPr>
        <w:snapToGrid w:val="0"/>
        <w:spacing w:line="580" w:lineRule="exact"/>
        <w:ind w:left="1344" w:leftChars="640" w:firstLine="272" w:firstLineChars="85"/>
        <w:jc w:val="left"/>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en-US" w:eastAsia="zh-CN"/>
        </w:rPr>
        <w:t>2.</w:t>
      </w:r>
      <w:r>
        <w:rPr>
          <w:rFonts w:hint="eastAsia" w:ascii="仿宋_GB2312" w:hAnsi="仿宋_GB2312" w:eastAsia="仿宋_GB2312" w:cs="仿宋_GB2312"/>
          <w:color w:val="000000" w:themeColor="text1"/>
          <w:sz w:val="32"/>
          <w:szCs w:val="32"/>
        </w:rPr>
        <w:t>深圳市普通高中音乐学业水平考试成绩评定结果</w:t>
      </w:r>
    </w:p>
    <w:p>
      <w:pPr>
        <w:widowControl w:val="0"/>
        <w:tabs>
          <w:tab w:val="left" w:pos="312"/>
        </w:tabs>
        <w:snapToGrid w:val="0"/>
        <w:spacing w:line="580" w:lineRule="exact"/>
        <w:ind w:left="1962" w:leftChars="919" w:hanging="32" w:hangingChars="1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汇总表</w:t>
      </w:r>
    </w:p>
    <w:p>
      <w:pPr>
        <w:snapToGrid w:val="0"/>
        <w:spacing w:line="580" w:lineRule="exact"/>
        <w:ind w:left="1958" w:leftChars="919" w:hanging="28" w:hangingChars="10"/>
        <w:jc w:val="left"/>
        <w:rPr>
          <w:rFonts w:ascii="仿宋_GB2312" w:hAnsi="仿宋_GB2312" w:eastAsia="仿宋_GB2312" w:cs="仿宋_GB2312"/>
          <w:color w:val="000000" w:themeColor="text1"/>
          <w:kern w:val="0"/>
          <w:sz w:val="28"/>
          <w:szCs w:val="28"/>
        </w:rPr>
        <w:sectPr>
          <w:footerReference r:id="rId3" w:type="default"/>
          <w:pgSz w:w="11906" w:h="16838"/>
          <w:pgMar w:top="2098" w:right="1474" w:bottom="1928" w:left="1587" w:header="851" w:footer="1361" w:gutter="0"/>
          <w:pgNumType w:fmt="decimal"/>
          <w:cols w:space="0" w:num="1"/>
          <w:rtlGutter w:val="0"/>
          <w:docGrid w:type="lines" w:linePitch="312" w:charSpace="0"/>
        </w:sectPr>
      </w:pPr>
    </w:p>
    <w:p>
      <w:pPr>
        <w:spacing w:line="580" w:lineRule="exact"/>
        <w:jc w:val="left"/>
        <w:rPr>
          <w:rFonts w:ascii="黑体" w:hAnsi="黑体" w:eastAsia="黑体" w:cs="仿宋_GB2312"/>
          <w:color w:val="000000" w:themeColor="text1"/>
          <w:kern w:val="0"/>
          <w:sz w:val="32"/>
          <w:szCs w:val="32"/>
        </w:rPr>
      </w:pPr>
      <w:r>
        <w:rPr>
          <w:rFonts w:hint="eastAsia" w:ascii="黑体" w:hAnsi="黑体" w:eastAsia="黑体" w:cs="仿宋_GB2312"/>
          <w:color w:val="000000" w:themeColor="text1"/>
          <w:kern w:val="0"/>
          <w:sz w:val="32"/>
          <w:szCs w:val="32"/>
        </w:rPr>
        <w:t>附件1</w:t>
      </w:r>
    </w:p>
    <w:p>
      <w:pPr>
        <w:spacing w:line="580" w:lineRule="exact"/>
        <w:jc w:val="left"/>
        <w:rPr>
          <w:rFonts w:ascii="黑体" w:hAnsi="黑体" w:eastAsia="黑体" w:cs="仿宋_GB2312"/>
          <w:color w:val="000000" w:themeColor="text1"/>
          <w:kern w:val="0"/>
          <w:sz w:val="32"/>
          <w:szCs w:val="32"/>
        </w:rPr>
      </w:pPr>
    </w:p>
    <w:p>
      <w:pPr>
        <w:spacing w:line="580" w:lineRule="exact"/>
        <w:jc w:val="center"/>
        <w:rPr>
          <w:rFonts w:ascii="方正小标宋_GBK" w:hAnsi="黑体" w:eastAsia="方正小标宋_GBK"/>
          <w:color w:val="000000" w:themeColor="text1"/>
          <w:sz w:val="44"/>
          <w:szCs w:val="44"/>
        </w:rPr>
      </w:pPr>
      <w:r>
        <w:rPr>
          <w:rFonts w:hint="eastAsia" w:ascii="方正小标宋_GBK" w:hAnsi="黑体" w:eastAsia="方正小标宋_GBK"/>
          <w:color w:val="000000" w:themeColor="text1"/>
          <w:sz w:val="44"/>
          <w:szCs w:val="44"/>
        </w:rPr>
        <w:t>深圳市普通高中音乐学业水平考试</w:t>
      </w:r>
    </w:p>
    <w:p>
      <w:pPr>
        <w:spacing w:line="580" w:lineRule="exact"/>
        <w:jc w:val="center"/>
        <w:rPr>
          <w:rFonts w:ascii="方正小标宋_GBK" w:hAnsi="黑体" w:eastAsia="方正小标宋_GBK"/>
          <w:color w:val="000000" w:themeColor="text1"/>
          <w:sz w:val="44"/>
          <w:szCs w:val="44"/>
        </w:rPr>
      </w:pPr>
      <w:r>
        <w:rPr>
          <w:rFonts w:hint="eastAsia" w:ascii="方正小标宋_GBK" w:hAnsi="黑体" w:eastAsia="方正小标宋_GBK"/>
          <w:color w:val="000000" w:themeColor="text1"/>
          <w:sz w:val="44"/>
          <w:szCs w:val="44"/>
        </w:rPr>
        <w:t>过程性评价建议表</w:t>
      </w:r>
    </w:p>
    <w:p>
      <w:pPr>
        <w:spacing w:line="580" w:lineRule="exact"/>
        <w:jc w:val="center"/>
        <w:rPr>
          <w:rFonts w:ascii="仿宋_GB2312" w:eastAsia="仿宋_GB2312"/>
          <w:b/>
          <w:color w:val="000000" w:themeColor="text1"/>
          <w:sz w:val="32"/>
          <w:szCs w:val="32"/>
        </w:rPr>
      </w:pPr>
    </w:p>
    <w:p>
      <w:pPr>
        <w:spacing w:line="580" w:lineRule="exact"/>
        <w:ind w:firstLine="120" w:firstLineChars="50"/>
        <w:rPr>
          <w:rFonts w:ascii="仿宋_GB2312" w:eastAsia="仿宋_GB2312"/>
          <w:color w:val="000000" w:themeColor="text1"/>
          <w:sz w:val="32"/>
          <w:szCs w:val="32"/>
        </w:rPr>
      </w:pPr>
      <w:r>
        <w:rPr>
          <w:rFonts w:hint="eastAsia" w:ascii="仿宋_GB2312" w:eastAsia="仿宋_GB2312"/>
          <w:color w:val="000000" w:themeColor="text1"/>
          <w:sz w:val="24"/>
        </w:rPr>
        <w:t xml:space="preserve">学校：                班级：        学生姓名：        </w:t>
      </w:r>
    </w:p>
    <w:tbl>
      <w:tblPr>
        <w:tblStyle w:val="9"/>
        <w:tblW w:w="9013" w:type="dxa"/>
        <w:jc w:val="center"/>
        <w:tblLayout w:type="fixed"/>
        <w:tblCellMar>
          <w:top w:w="0" w:type="dxa"/>
          <w:left w:w="0" w:type="dxa"/>
          <w:bottom w:w="0" w:type="dxa"/>
          <w:right w:w="0" w:type="dxa"/>
        </w:tblCellMar>
      </w:tblPr>
      <w:tblGrid>
        <w:gridCol w:w="1359"/>
        <w:gridCol w:w="4961"/>
        <w:gridCol w:w="1264"/>
        <w:gridCol w:w="706"/>
        <w:gridCol w:w="723"/>
      </w:tblGrid>
      <w:tr>
        <w:tblPrEx>
          <w:tblCellMar>
            <w:top w:w="0" w:type="dxa"/>
            <w:left w:w="0" w:type="dxa"/>
            <w:bottom w:w="0" w:type="dxa"/>
            <w:right w:w="0" w:type="dxa"/>
          </w:tblCellMar>
        </w:tblPrEx>
        <w:trPr>
          <w:cantSplit/>
          <w:trHeight w:val="530" w:hRule="atLeast"/>
          <w:jc w:val="center"/>
        </w:trPr>
        <w:tc>
          <w:tcPr>
            <w:tcW w:w="1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评价项目</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分值</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得分</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备注</w:t>
            </w:r>
          </w:p>
        </w:tc>
      </w:tr>
      <w:tr>
        <w:tblPrEx>
          <w:tblCellMar>
            <w:top w:w="0" w:type="dxa"/>
            <w:left w:w="0" w:type="dxa"/>
            <w:bottom w:w="0" w:type="dxa"/>
            <w:right w:w="0" w:type="dxa"/>
          </w:tblCellMar>
        </w:tblPrEx>
        <w:trPr>
          <w:cantSplit/>
          <w:trHeight w:val="460" w:hRule="atLeast"/>
          <w:jc w:val="center"/>
        </w:trPr>
        <w:tc>
          <w:tcPr>
            <w:tcW w:w="13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上课出勤</w:t>
            </w:r>
          </w:p>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（30分）</w:t>
            </w: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能按时参加学校开设的国家音乐课程的学习及音乐课外活动，参与积极性高，</w:t>
            </w:r>
            <w:r>
              <w:rPr>
                <w:rFonts w:hint="eastAsia" w:ascii="仿宋_GB2312" w:eastAsia="仿宋_GB2312"/>
                <w:color w:val="000000" w:themeColor="text1"/>
                <w:sz w:val="20"/>
                <w:szCs w:val="20"/>
              </w:rPr>
              <w:t>无缺课。</w:t>
            </w:r>
          </w:p>
        </w:tc>
        <w:tc>
          <w:tcPr>
            <w:tcW w:w="12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30</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719"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能基本按时参加学校开设的国家音乐课程的学习及音乐课外活动，参与积极性一般，</w:t>
            </w:r>
            <w:r>
              <w:rPr>
                <w:rFonts w:hint="eastAsia" w:ascii="仿宋_GB2312" w:eastAsia="仿宋_GB2312"/>
                <w:color w:val="000000" w:themeColor="text1"/>
                <w:sz w:val="20"/>
                <w:szCs w:val="20"/>
              </w:rPr>
              <w:t>无故缺课不超过1次（含1次）。</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25</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285"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不能按时参加学校开设的国家音乐课程的学习及音乐课外活动，参与积极性不高，</w:t>
            </w:r>
            <w:r>
              <w:rPr>
                <w:rFonts w:hint="eastAsia" w:ascii="仿宋_GB2312" w:eastAsia="仿宋_GB2312"/>
                <w:color w:val="000000" w:themeColor="text1"/>
                <w:sz w:val="20"/>
                <w:szCs w:val="20"/>
              </w:rPr>
              <w:t xml:space="preserve"> 无故缺课超过2次以上（含2次）。</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9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不能按时参加学校开设的国家音乐课程的学习及音乐课外活动，参与积极性不高，</w:t>
            </w:r>
            <w:r>
              <w:rPr>
                <w:rFonts w:hint="eastAsia" w:ascii="仿宋_GB2312" w:eastAsia="仿宋_GB2312"/>
                <w:color w:val="000000" w:themeColor="text1"/>
                <w:sz w:val="20"/>
                <w:szCs w:val="20"/>
              </w:rPr>
              <w:t xml:space="preserve"> 无故缺课超过3次以上（含3次）。</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10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9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基本不参加音乐课程及音乐课外活动。</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720" w:hRule="atLeast"/>
          <w:jc w:val="center"/>
        </w:trPr>
        <w:tc>
          <w:tcPr>
            <w:tcW w:w="1359"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课堂综合表现（40分）</w:t>
            </w: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积极、认真学习音乐课程，积极主动配合老师组织完成各种艺术活动、与他人合作愉悦表现。</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40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60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按要求学习音乐课程，主动配合老师完成各项艺术活动，能与他人合作表现。</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30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8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基本按要求学习音乐课程，在老师督促下完成各项艺术活动，及与他人合作的表现。</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48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态度不是很认真，比较马虎应付</w:t>
            </w:r>
            <w:r>
              <w:rPr>
                <w:rFonts w:hint="eastAsia" w:ascii="仿宋_GB2312" w:hAnsi="宋体" w:eastAsia="仿宋_GB2312"/>
                <w:color w:val="000000" w:themeColor="text1"/>
              </w:rPr>
              <w:t>。</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态度不认真，不配合，不参与。</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音乐实践</w:t>
            </w:r>
          </w:p>
          <w:p>
            <w:pPr>
              <w:spacing w:line="580" w:lineRule="exact"/>
              <w:rPr>
                <w:rFonts w:ascii="仿宋_GB2312" w:hAnsi="宋体" w:eastAsia="仿宋_GB2312"/>
                <w:color w:val="000000" w:themeColor="text1"/>
              </w:rPr>
            </w:pPr>
            <w:r>
              <w:rPr>
                <w:rFonts w:hint="eastAsia" w:ascii="仿宋_GB2312" w:eastAsia="仿宋_GB2312"/>
                <w:color w:val="000000" w:themeColor="text1"/>
              </w:rPr>
              <w:t>（30分）</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*参加由学校组织的校内外艺术实践活动2次以上（含2次）；</w:t>
            </w:r>
          </w:p>
        </w:tc>
        <w:tc>
          <w:tcPr>
            <w:tcW w:w="126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30</w:t>
            </w:r>
          </w:p>
        </w:tc>
        <w:tc>
          <w:tcPr>
            <w:tcW w:w="70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*参加由学校组织的校内外艺术实践活动1次以上（含1次）；</w:t>
            </w:r>
          </w:p>
        </w:tc>
        <w:tc>
          <w:tcPr>
            <w:tcW w:w="126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15</w:t>
            </w:r>
          </w:p>
        </w:tc>
        <w:tc>
          <w:tcPr>
            <w:tcW w:w="70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无参加校内音乐列活动及校外音乐类活动的经历。</w:t>
            </w:r>
          </w:p>
        </w:tc>
        <w:tc>
          <w:tcPr>
            <w:tcW w:w="126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0</w:t>
            </w:r>
          </w:p>
        </w:tc>
        <w:tc>
          <w:tcPr>
            <w:tcW w:w="70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bl>
    <w:p>
      <w:pPr>
        <w:spacing w:line="580" w:lineRule="exact"/>
        <w:jc w:val="right"/>
        <w:rPr>
          <w:rFonts w:ascii="仿宋_GB2312" w:eastAsia="仿宋_GB2312"/>
          <w:color w:val="000000" w:themeColor="text1"/>
        </w:rPr>
      </w:pPr>
      <w:r>
        <w:rPr>
          <w:rFonts w:hint="eastAsia" w:ascii="仿宋_GB2312" w:eastAsia="仿宋_GB2312"/>
          <w:color w:val="000000" w:themeColor="text1"/>
        </w:rPr>
        <w:t>分值100分</w:t>
      </w:r>
    </w:p>
    <w:p>
      <w:pPr>
        <w:spacing w:line="580" w:lineRule="exact"/>
        <w:rPr>
          <w:rFonts w:ascii="仿宋_GB2312" w:eastAsia="仿宋_GB2312"/>
          <w:color w:val="000000" w:themeColor="text1"/>
        </w:rPr>
      </w:pPr>
      <w:r>
        <w:rPr>
          <w:rFonts w:hint="eastAsia" w:ascii="仿宋_GB2312" w:eastAsia="仿宋_GB2312"/>
          <w:color w:val="000000" w:themeColor="text1"/>
        </w:rPr>
        <w:t>说明：</w:t>
      </w:r>
    </w:p>
    <w:p>
      <w:pPr>
        <w:spacing w:line="580" w:lineRule="exact"/>
        <w:rPr>
          <w:rFonts w:ascii="仿宋_GB2312" w:eastAsia="仿宋_GB2312"/>
          <w:color w:val="000000" w:themeColor="text1"/>
        </w:rPr>
      </w:pPr>
      <w:r>
        <w:rPr>
          <w:rFonts w:hint="eastAsia" w:ascii="仿宋_GB2312" w:eastAsia="仿宋_GB2312"/>
          <w:b/>
          <w:bCs/>
          <w:color w:val="000000" w:themeColor="text1"/>
        </w:rPr>
        <w:t>*</w:t>
      </w:r>
      <w:r>
        <w:rPr>
          <w:rFonts w:hint="eastAsia" w:ascii="仿宋_GB2312" w:eastAsia="仿宋_GB2312"/>
          <w:color w:val="000000" w:themeColor="text1"/>
        </w:rPr>
        <w:t>校内音乐活动包括：由学校组织的艺术节、各类文艺演出及展示，或组织学生外出观摩文艺演出、参加社区艺术活动等。</w:t>
      </w:r>
    </w:p>
    <w:p>
      <w:pPr>
        <w:spacing w:line="580" w:lineRule="exact"/>
        <w:rPr>
          <w:rFonts w:ascii="仿宋_GB2312" w:eastAsia="仿宋_GB2312"/>
          <w:color w:val="000000" w:themeColor="text1"/>
        </w:rPr>
      </w:pPr>
      <w:r>
        <w:rPr>
          <w:rFonts w:hint="eastAsia" w:ascii="仿宋_GB2312" w:eastAsia="仿宋_GB2312"/>
          <w:b/>
          <w:bCs/>
          <w:color w:val="000000" w:themeColor="text1"/>
        </w:rPr>
        <w:t>*</w:t>
      </w:r>
      <w:r>
        <w:rPr>
          <w:rFonts w:hint="eastAsia" w:ascii="仿宋_GB2312" w:eastAsia="仿宋_GB2312"/>
          <w:color w:val="000000" w:themeColor="text1"/>
        </w:rPr>
        <w:t>校外音乐类活动：由各级教育行政部门组织的校外艺术展演。</w:t>
      </w:r>
    </w:p>
    <w:p>
      <w:pPr>
        <w:spacing w:line="580" w:lineRule="exact"/>
        <w:rPr>
          <w:rFonts w:ascii="仿宋_GB2312" w:eastAsia="仿宋_GB2312"/>
          <w:color w:val="000000" w:themeColor="text1"/>
        </w:rPr>
      </w:pPr>
    </w:p>
    <w:p>
      <w:pPr>
        <w:widowControl/>
        <w:spacing w:line="580" w:lineRule="exact"/>
        <w:jc w:val="left"/>
        <w:rPr>
          <w:rFonts w:ascii="仿宋_GB2312" w:hAnsi="宋体" w:eastAsia="仿宋_GB2312"/>
          <w:color w:val="000000" w:themeColor="text1"/>
          <w:kern w:val="0"/>
          <w:sz w:val="32"/>
          <w:szCs w:val="32"/>
        </w:rPr>
      </w:pPr>
    </w:p>
    <w:p>
      <w:pPr>
        <w:widowControl/>
        <w:spacing w:line="580" w:lineRule="exact"/>
        <w:jc w:val="left"/>
        <w:rPr>
          <w:rFonts w:ascii="仿宋_GB2312" w:hAnsi="宋体" w:eastAsia="仿宋_GB2312"/>
          <w:color w:val="000000" w:themeColor="text1"/>
          <w:kern w:val="0"/>
          <w:sz w:val="32"/>
          <w:szCs w:val="32"/>
        </w:rPr>
      </w:pPr>
    </w:p>
    <w:p>
      <w:pPr>
        <w:widowControl/>
        <w:spacing w:line="580" w:lineRule="exact"/>
        <w:jc w:val="left"/>
        <w:rPr>
          <w:rFonts w:ascii="仿宋_GB2312" w:hAnsi="宋体" w:eastAsia="仿宋_GB2312"/>
          <w:color w:val="000000" w:themeColor="text1"/>
          <w:kern w:val="0"/>
          <w:sz w:val="32"/>
          <w:szCs w:val="32"/>
        </w:rPr>
      </w:pPr>
    </w:p>
    <w:p>
      <w:pPr>
        <w:widowControl/>
        <w:spacing w:line="580" w:lineRule="exact"/>
        <w:jc w:val="left"/>
        <w:rPr>
          <w:rFonts w:ascii="仿宋_GB2312" w:hAnsi="宋体" w:eastAsia="仿宋_GB2312"/>
          <w:color w:val="000000" w:themeColor="text1"/>
          <w:kern w:val="0"/>
          <w:sz w:val="32"/>
          <w:szCs w:val="32"/>
        </w:rPr>
        <w:sectPr>
          <w:pgSz w:w="11906" w:h="16838"/>
          <w:pgMar w:top="2098" w:right="1474" w:bottom="1984" w:left="1587" w:header="851" w:footer="1361" w:gutter="0"/>
          <w:pgNumType w:fmt="decimal"/>
          <w:cols w:space="425" w:num="1"/>
          <w:docGrid w:type="lines" w:linePitch="312" w:charSpace="0"/>
        </w:sectPr>
      </w:pPr>
    </w:p>
    <w:p>
      <w:pPr>
        <w:widowControl/>
        <w:spacing w:line="580" w:lineRule="exact"/>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附件2</w:t>
      </w:r>
    </w:p>
    <w:p>
      <w:pPr>
        <w:widowControl/>
        <w:spacing w:line="580" w:lineRule="exact"/>
        <w:jc w:val="left"/>
        <w:rPr>
          <w:rFonts w:ascii="仿宋_GB2312" w:hAnsi="宋体" w:eastAsia="仿宋_GB2312"/>
          <w:color w:val="000000" w:themeColor="text1"/>
          <w:kern w:val="0"/>
          <w:sz w:val="32"/>
          <w:szCs w:val="32"/>
        </w:rPr>
      </w:pPr>
    </w:p>
    <w:p>
      <w:pPr>
        <w:widowControl/>
        <w:spacing w:line="580" w:lineRule="exact"/>
        <w:jc w:val="center"/>
        <w:rPr>
          <w:rFonts w:ascii="方正小标宋_GBK" w:hAnsi="黑体" w:eastAsia="方正小标宋_GBK" w:cs="方正小标宋简体"/>
          <w:color w:val="000000" w:themeColor="text1"/>
          <w:sz w:val="44"/>
          <w:szCs w:val="44"/>
        </w:rPr>
      </w:pPr>
      <w:r>
        <w:rPr>
          <w:rFonts w:hint="eastAsia" w:ascii="方正小标宋_GBK" w:hAnsi="黑体" w:eastAsia="方正小标宋_GBK" w:cs="方正小标宋简体"/>
          <w:color w:val="000000" w:themeColor="text1"/>
          <w:sz w:val="44"/>
          <w:szCs w:val="44"/>
        </w:rPr>
        <w:t>深圳市普通高中音乐学业水平考试</w:t>
      </w:r>
    </w:p>
    <w:p>
      <w:pPr>
        <w:widowControl/>
        <w:spacing w:line="580" w:lineRule="exact"/>
        <w:jc w:val="center"/>
        <w:rPr>
          <w:rFonts w:ascii="方正小标宋_GBK" w:hAnsi="黑体" w:eastAsia="方正小标宋_GBK" w:cs="方正小标宋简体"/>
          <w:color w:val="000000" w:themeColor="text1"/>
          <w:sz w:val="44"/>
          <w:szCs w:val="44"/>
        </w:rPr>
      </w:pPr>
      <w:r>
        <w:rPr>
          <w:rFonts w:hint="eastAsia" w:ascii="方正小标宋_GBK" w:hAnsi="黑体" w:eastAsia="方正小标宋_GBK" w:cs="方正小标宋简体"/>
          <w:color w:val="000000" w:themeColor="text1"/>
          <w:sz w:val="44"/>
          <w:szCs w:val="44"/>
        </w:rPr>
        <w:t>成绩评定结果汇总表</w:t>
      </w:r>
    </w:p>
    <w:p>
      <w:pPr>
        <w:widowControl/>
        <w:spacing w:line="580" w:lineRule="exact"/>
        <w:jc w:val="center"/>
        <w:rPr>
          <w:rFonts w:ascii="黑体" w:hAnsi="黑体" w:eastAsia="黑体" w:cs="方正小标宋简体"/>
          <w:color w:val="000000" w:themeColor="text1"/>
          <w:sz w:val="32"/>
          <w:szCs w:val="32"/>
        </w:rPr>
      </w:pPr>
    </w:p>
    <w:p>
      <w:pPr>
        <w:widowControl/>
        <w:spacing w:line="580" w:lineRule="exact"/>
        <w:jc w:val="lef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               年级：                 评定时间：</w:t>
      </w:r>
    </w:p>
    <w:tbl>
      <w:tblPr>
        <w:tblStyle w:val="9"/>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990"/>
        <w:gridCol w:w="761"/>
        <w:gridCol w:w="1560"/>
        <w:gridCol w:w="1559"/>
        <w:gridCol w:w="1655"/>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学籍号</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姓名</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性别</w:t>
            </w:r>
          </w:p>
        </w:tc>
        <w:tc>
          <w:tcPr>
            <w:tcW w:w="6124"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过程性评价</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（占比</w:t>
            </w:r>
            <w:r>
              <w:rPr>
                <w:rFonts w:hint="eastAsia" w:ascii="仿宋" w:hAnsi="仿宋" w:eastAsia="仿宋" w:cs="仿宋_GB2312"/>
                <w:color w:val="000000" w:themeColor="text1"/>
              </w:rPr>
              <w:t>20%）</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专项测试</w:t>
            </w:r>
          </w:p>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（占比</w:t>
            </w:r>
            <w:r>
              <w:rPr>
                <w:rFonts w:hint="eastAsia" w:ascii="仿宋" w:hAnsi="仿宋" w:eastAsia="仿宋" w:cs="仿宋_GB2312"/>
                <w:color w:val="000000" w:themeColor="text1"/>
              </w:rPr>
              <w:t>30%）</w:t>
            </w: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必修课程测试（占比</w:t>
            </w:r>
            <w:r>
              <w:rPr>
                <w:rFonts w:hint="eastAsia" w:ascii="仿宋" w:hAnsi="仿宋" w:eastAsia="仿宋" w:cs="仿宋_GB2312"/>
                <w:color w:val="000000" w:themeColor="text1"/>
              </w:rPr>
              <w:t>50%）</w:t>
            </w: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655" w:type="dxa"/>
            <w:tcBorders>
              <w:top w:val="single" w:color="000000" w:sz="4" w:space="0"/>
              <w:left w:val="single" w:color="000000" w:sz="4" w:space="0"/>
              <w:bottom w:val="single" w:color="000000" w:sz="4" w:space="0"/>
              <w:right w:val="single" w:color="auto"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350" w:type="dxa"/>
            <w:tcBorders>
              <w:top w:val="single" w:color="000000" w:sz="4" w:space="0"/>
              <w:left w:val="single" w:color="auto"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bl>
    <w:p>
      <w:pPr>
        <w:widowControl/>
        <w:spacing w:line="580" w:lineRule="exact"/>
        <w:jc w:val="left"/>
        <w:rPr>
          <w:rFonts w:ascii="仿宋_GB2312" w:hAnsi="方正小标宋简体" w:eastAsia="仿宋_GB2312" w:cs="方正小标宋简体"/>
          <w:color w:val="000000" w:themeColor="text1"/>
          <w:sz w:val="28"/>
          <w:szCs w:val="28"/>
        </w:rPr>
      </w:pPr>
    </w:p>
    <w:p>
      <w:pPr>
        <w:widowControl/>
        <w:spacing w:line="580" w:lineRule="exact"/>
        <w:ind w:left="2520" w:hanging="2520" w:hangingChars="900"/>
        <w:jc w:val="righ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学校确认（盖章）</w:t>
      </w:r>
    </w:p>
    <w:p>
      <w:pPr>
        <w:widowControl/>
        <w:spacing w:line="580" w:lineRule="exact"/>
        <w:ind w:left="2880" w:hanging="2880" w:hangingChars="900"/>
        <w:jc w:val="right"/>
        <w:rPr>
          <w:rFonts w:ascii="仿宋_GB2312" w:hAnsi="仿宋_GB2312" w:eastAsia="仿宋_GB2312" w:cs="仿宋_GB2312"/>
          <w:color w:val="000000" w:themeColor="text1"/>
          <w:sz w:val="32"/>
          <w:szCs w:val="32"/>
        </w:rPr>
      </w:pPr>
      <w:r>
        <w:rPr>
          <w:rFonts w:hint="eastAsia" w:ascii="仿宋_GB2312" w:hAnsi="方正小标宋简体" w:eastAsia="仿宋_GB2312" w:cs="方正小标宋简体"/>
          <w:color w:val="000000" w:themeColor="text1"/>
          <w:sz w:val="32"/>
          <w:szCs w:val="32"/>
        </w:rPr>
        <w:t>年 月 日</w:t>
      </w:r>
    </w:p>
    <w:sectPr>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846CE7-8214-49DE-B23C-4C05E3A0BF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C52E774-373C-490E-BBBA-DCD74960B81D}"/>
  </w:font>
  <w:font w:name="仿宋_GB2312">
    <w:panose1 w:val="02010609030101010101"/>
    <w:charset w:val="86"/>
    <w:family w:val="modern"/>
    <w:pitch w:val="default"/>
    <w:sig w:usb0="00000001" w:usb1="080E0000" w:usb2="00000000" w:usb3="00000000" w:csb0="00040000" w:csb1="00000000"/>
    <w:embedRegular r:id="rId3" w:fontKey="{BCA64E16-A4FB-437F-BD11-D6CC5F9C1BE4}"/>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embedRegular r:id="rId4" w:fontKey="{59DBF17C-ADBD-436C-859D-9A41A0BF8481}"/>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5" w:fontKey="{55A5271F-4DA5-4508-B76B-93C0179B850E}"/>
  </w:font>
  <w:font w:name="方正小标宋_GBK">
    <w:panose1 w:val="02000000000000000000"/>
    <w:charset w:val="86"/>
    <w:family w:val="auto"/>
    <w:pitch w:val="default"/>
    <w:sig w:usb0="A00002BF" w:usb1="38CF7CFA" w:usb2="00082016" w:usb3="00000000" w:csb0="00040001" w:csb1="00000000"/>
    <w:embedRegular r:id="rId6" w:fontKey="{80A8F2EB-D488-4BB5-8B17-0433EFD37216}"/>
  </w:font>
  <w:font w:name="Th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rPr>
                    <w:rStyle w:val="11"/>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1</w:t>
                </w:r>
                <w:r>
                  <w:rPr>
                    <w:rFonts w:hint="eastAsia" w:ascii="宋体" w:hAnsi="宋体" w:cs="宋体"/>
                    <w:sz w:val="28"/>
                    <w:szCs w:val="28"/>
                  </w:rPr>
                  <w:fldChar w:fldCharType="end"/>
                </w:r>
                <w:r>
                  <w:rPr>
                    <w:rStyle w:val="11"/>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8662BF"/>
    <w:rsid w:val="001B2245"/>
    <w:rsid w:val="002624D6"/>
    <w:rsid w:val="002D61AF"/>
    <w:rsid w:val="004155A0"/>
    <w:rsid w:val="004C5061"/>
    <w:rsid w:val="00612FBF"/>
    <w:rsid w:val="00691121"/>
    <w:rsid w:val="008450B0"/>
    <w:rsid w:val="00872BED"/>
    <w:rsid w:val="008E2447"/>
    <w:rsid w:val="009F14AE"/>
    <w:rsid w:val="00DE3C07"/>
    <w:rsid w:val="00E059F1"/>
    <w:rsid w:val="00E70144"/>
    <w:rsid w:val="02583D90"/>
    <w:rsid w:val="027F50AE"/>
    <w:rsid w:val="08E472A1"/>
    <w:rsid w:val="08F940F2"/>
    <w:rsid w:val="09F27A47"/>
    <w:rsid w:val="146E47B8"/>
    <w:rsid w:val="14E7478E"/>
    <w:rsid w:val="16BD60B3"/>
    <w:rsid w:val="17524CD9"/>
    <w:rsid w:val="1BD20D0E"/>
    <w:rsid w:val="1E6F2FE2"/>
    <w:rsid w:val="204D3B6B"/>
    <w:rsid w:val="220B7D6E"/>
    <w:rsid w:val="22C228F8"/>
    <w:rsid w:val="22D42434"/>
    <w:rsid w:val="26A14172"/>
    <w:rsid w:val="33E7744D"/>
    <w:rsid w:val="382637A8"/>
    <w:rsid w:val="3A4140A4"/>
    <w:rsid w:val="3D711EEE"/>
    <w:rsid w:val="407D5C80"/>
    <w:rsid w:val="40FE2E51"/>
    <w:rsid w:val="45F21F09"/>
    <w:rsid w:val="473E15EC"/>
    <w:rsid w:val="477219BC"/>
    <w:rsid w:val="51347DF3"/>
    <w:rsid w:val="5CEE2002"/>
    <w:rsid w:val="5D5A0455"/>
    <w:rsid w:val="60306CFA"/>
    <w:rsid w:val="66C71146"/>
    <w:rsid w:val="672C3AB8"/>
    <w:rsid w:val="70A51BF5"/>
    <w:rsid w:val="77E03751"/>
    <w:rsid w:val="798662BF"/>
    <w:rsid w:val="7D70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仿宋_GB2312" w:eastAsia="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paragraph" w:customStyle="1" w:styleId="12">
    <w:name w:val="列出段落3"/>
    <w:basedOn w:val="1"/>
    <w:qFormat/>
    <w:uiPriority w:val="0"/>
    <w:pPr>
      <w:ind w:firstLine="420" w:firstLineChars="200"/>
    </w:pPr>
    <w:rPr>
      <w:rFonts w:ascii="Calibri" w:hAnsi="Calibri" w:cs="宋体"/>
      <w:szCs w:val="2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18935</Words>
  <Characters>2322</Characters>
  <Lines>19</Lines>
  <Paragraphs>42</Paragraphs>
  <TotalTime>36</TotalTime>
  <ScaleCrop>false</ScaleCrop>
  <LinksUpToDate>false</LinksUpToDate>
  <CharactersWithSpaces>21215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2020-11-20T04:08:00Z</dcterms:created>
  <dc:creator>Mary</dc:creator>
  <cp:lastModifiedBy>德恒-DH</cp:lastModifiedBy>
  <dcterms:modified xsi:type="dcterms:W3CDTF">2020-11-24T09:43:23Z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