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32"/>
        </w:rPr>
      </w:pPr>
    </w:p>
    <w:p>
      <w:pPr>
        <w:pStyle w:val="2"/>
        <w:rPr>
          <w:sz w:val="32"/>
        </w:rPr>
      </w:pPr>
    </w:p>
    <w:p>
      <w:pPr>
        <w:adjustRightInd w:val="0"/>
        <w:snapToGrid w:val="0"/>
        <w:spacing w:line="560" w:lineRule="exact"/>
        <w:jc w:val="center"/>
        <w:outlineLvl w:val="0"/>
        <w:rPr>
          <w:rFonts w:ascii="宋体" w:hAnsi="宋体"/>
          <w:b/>
          <w:bCs/>
          <w:w w:val="95"/>
          <w:sz w:val="44"/>
        </w:rPr>
      </w:pPr>
      <w:r>
        <w:rPr>
          <w:rFonts w:hint="eastAsia" w:ascii="宋体" w:hAnsi="宋体"/>
          <w:b/>
          <w:bCs/>
          <w:w w:val="95"/>
          <w:sz w:val="44"/>
        </w:rPr>
        <w:t>2020年深圳市商业保理行业</w:t>
      </w:r>
    </w:p>
    <w:p>
      <w:pPr>
        <w:adjustRightInd w:val="0"/>
        <w:snapToGrid w:val="0"/>
        <w:spacing w:line="560" w:lineRule="exact"/>
        <w:jc w:val="center"/>
        <w:outlineLvl w:val="0"/>
        <w:rPr>
          <w:rFonts w:ascii="宋体" w:hAnsi="宋体"/>
          <w:b/>
          <w:bCs/>
          <w:w w:val="95"/>
          <w:sz w:val="44"/>
        </w:rPr>
      </w:pPr>
      <w:r>
        <w:rPr>
          <w:rFonts w:hint="eastAsia" w:ascii="宋体" w:hAnsi="宋体"/>
          <w:b/>
          <w:bCs/>
          <w:w w:val="95"/>
          <w:sz w:val="44"/>
        </w:rPr>
        <w:t>风险排查工作方案</w:t>
      </w:r>
    </w:p>
    <w:p>
      <w:pPr>
        <w:spacing w:line="560" w:lineRule="exact"/>
        <w:rPr>
          <w:rFonts w:ascii="宋体" w:hAnsi="宋体"/>
          <w:sz w:val="32"/>
          <w:szCs w:val="32"/>
        </w:rPr>
      </w:pPr>
    </w:p>
    <w:p>
      <w:pPr>
        <w:spacing w:line="560" w:lineRule="exact"/>
        <w:ind w:firstLine="640" w:firstLineChars="200"/>
        <w:rPr>
          <w:rFonts w:ascii="楷体" w:hAnsi="楷体" w:eastAsia="仿宋_GB2312"/>
          <w:sz w:val="32"/>
          <w:szCs w:val="32"/>
        </w:rPr>
      </w:pPr>
      <w:r>
        <w:rPr>
          <w:rFonts w:hint="eastAsia" w:ascii="仿宋_GB2312" w:hAnsi="仿宋_GB2312" w:eastAsia="仿宋_GB2312" w:cs="仿宋_GB2312"/>
          <w:sz w:val="32"/>
          <w:szCs w:val="32"/>
        </w:rPr>
        <w:t>根据《中国银保监会办公厅关于加强商业保理企业监督管理的通知》（银保监办发〔2019〕205号，以下简称205号文）有关工作要求，为持续推进我市商业保理行业清理规范工作，推动行业规范稳健发展，我局拟通过政府购买服务的方式开展深圳市商业保理行业风险排查工作，特制定本方案。</w:t>
      </w: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一、目的意义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205号文有关工作要求，坚持“引导合规、扶优限劣、减量增质”原则，在前期清理规范工作的基础上，进一步深化行业风险排查，根据企业经营情况和实地核查的风险企业情况，及时发现并妥善处置全市商业保理公司存在的风险隐患，持续开展企业分类处置工作，加速推动市场出清，推进实施名单制管理和分类监管。</w:t>
      </w: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二、排查时间</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拟于9月</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旬启动风险排查，预计12月上旬完成。</w:t>
      </w: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三、排查对象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在本市市场监管局登记注册的名称中含有“商业保理”、“保理”等字样且经营范围属于商业保理的企业及其分支机构；市外商业保理公司在我市设立的分支机构。</w:t>
      </w:r>
    </w:p>
    <w:p>
      <w:pPr>
        <w:tabs>
          <w:tab w:val="left" w:pos="6450"/>
        </w:tabs>
        <w:spacing w:line="560" w:lineRule="exact"/>
        <w:ind w:firstLine="640" w:firstLineChars="200"/>
        <w:outlineLvl w:val="0"/>
        <w:rPr>
          <w:rFonts w:hint="eastAsia" w:ascii="黑体" w:hAnsi="黑体" w:eastAsia="黑体"/>
          <w:sz w:val="32"/>
          <w:szCs w:val="32"/>
        </w:rPr>
        <w:sectPr>
          <w:headerReference r:id="rId3" w:type="default"/>
          <w:footerReference r:id="rId4" w:type="default"/>
          <w:footerReference r:id="rId5" w:type="even"/>
          <w:pgSz w:w="11907" w:h="16840"/>
          <w:pgMar w:top="1701" w:right="1588" w:bottom="1701" w:left="1588" w:header="851" w:footer="851" w:gutter="0"/>
          <w:pgNumType w:start="3"/>
          <w:cols w:space="720" w:num="1"/>
          <w:docGrid w:type="lines" w:linePitch="326" w:charSpace="0"/>
        </w:sectPr>
      </w:pP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四、工作内容</w:t>
      </w:r>
    </w:p>
    <w:p>
      <w:pPr>
        <w:spacing w:line="560" w:lineRule="exact"/>
        <w:ind w:firstLine="643" w:firstLineChars="200"/>
        <w:outlineLvl w:val="0"/>
        <w:rPr>
          <w:rFonts w:ascii="楷体" w:hAnsi="楷体" w:eastAsia="楷体" w:cs="楷体_GB2312"/>
          <w:b/>
          <w:sz w:val="32"/>
          <w:szCs w:val="32"/>
        </w:rPr>
      </w:pPr>
      <w:r>
        <w:rPr>
          <w:rFonts w:hint="eastAsia" w:ascii="楷体" w:hAnsi="楷体" w:eastAsia="楷体" w:cs="楷体_GB2312"/>
          <w:b/>
          <w:sz w:val="32"/>
          <w:szCs w:val="32"/>
        </w:rPr>
        <w:t>（一）公示失联与空壳企业</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按照205号文失联、空壳企业认定标准，协助市地方金融监管局定期进行疑似失联、疑似空壳、和失联、空壳企业的筛选确认，确保不遗不漏并进行分批分次公示。</w:t>
      </w:r>
    </w:p>
    <w:p>
      <w:pPr>
        <w:spacing w:line="560" w:lineRule="exact"/>
        <w:ind w:firstLine="643" w:firstLineChars="200"/>
        <w:outlineLvl w:val="0"/>
        <w:rPr>
          <w:rFonts w:ascii="楷体" w:hAnsi="楷体" w:eastAsia="楷体" w:cs="楷体_GB2312"/>
          <w:b/>
          <w:sz w:val="32"/>
          <w:szCs w:val="32"/>
        </w:rPr>
      </w:pPr>
      <w:r>
        <w:rPr>
          <w:rFonts w:hint="eastAsia" w:ascii="楷体" w:hAnsi="楷体" w:eastAsia="楷体" w:cs="楷体_GB2312"/>
          <w:b/>
          <w:sz w:val="32"/>
          <w:szCs w:val="32"/>
        </w:rPr>
        <w:t>（二）受理企业移出申请</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协助市地方金融监管局汇总企业移出疑似失联、疑似空壳名录申请，审核企业移出名录的申请，实地核查确认企业不存在205号文所列任一失联、空壳企业认定情形后，分批公示予以移出企业。</w:t>
      </w:r>
    </w:p>
    <w:p>
      <w:pPr>
        <w:spacing w:line="560" w:lineRule="exact"/>
        <w:ind w:firstLine="643" w:firstLineChars="200"/>
        <w:outlineLvl w:val="0"/>
        <w:rPr>
          <w:rFonts w:ascii="楷体" w:hAnsi="楷体" w:eastAsia="楷体" w:cs="楷体_GB2312"/>
          <w:b/>
          <w:sz w:val="32"/>
          <w:szCs w:val="32"/>
        </w:rPr>
      </w:pPr>
      <w:r>
        <w:rPr>
          <w:rFonts w:hint="eastAsia" w:ascii="楷体" w:hAnsi="楷体" w:eastAsia="楷体" w:cs="楷体_GB2312"/>
          <w:b/>
          <w:sz w:val="32"/>
          <w:szCs w:val="32"/>
        </w:rPr>
        <w:t>（三）排查风险企业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协助配合市地方金融监管局对监测预警系统分数较高、信访投诉情况集中的企业进行实地核查，掌握有关风险情况，并对主要风险点进行分析、归类，推进违法违规企业处置工作。</w:t>
      </w:r>
    </w:p>
    <w:p>
      <w:pPr>
        <w:spacing w:line="560" w:lineRule="exact"/>
        <w:ind w:firstLine="643" w:firstLineChars="200"/>
        <w:outlineLvl w:val="0"/>
        <w:rPr>
          <w:rFonts w:ascii="楷体" w:hAnsi="楷体" w:eastAsia="楷体" w:cs="楷体_GB2312"/>
          <w:b/>
          <w:bCs/>
          <w:sz w:val="32"/>
          <w:szCs w:val="32"/>
        </w:rPr>
      </w:pPr>
      <w:r>
        <w:rPr>
          <w:rFonts w:hint="eastAsia" w:ascii="楷体" w:hAnsi="楷体" w:eastAsia="楷体" w:cs="楷体_GB2312"/>
          <w:b/>
          <w:sz w:val="32"/>
          <w:szCs w:val="32"/>
        </w:rPr>
        <w:t>（四）强化已列入监管名单企业监管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协助配合市地方金融监管局按照“动态管理、有进有出”原则，加强对已列入监管名单企业的跟踪监测，定期核查名单内企业是否持续正常开展经营，及时发现风险问题，对于已不满足正常经营类条件的企业，移出监管名单。</w:t>
      </w:r>
    </w:p>
    <w:p>
      <w:pPr>
        <w:spacing w:line="560" w:lineRule="exact"/>
        <w:ind w:firstLine="643" w:firstLineChars="200"/>
        <w:outlineLvl w:val="0"/>
        <w:rPr>
          <w:rFonts w:ascii="楷体" w:hAnsi="楷体" w:eastAsia="楷体" w:cs="楷体_GB2312"/>
          <w:bCs/>
          <w:sz w:val="32"/>
          <w:szCs w:val="32"/>
        </w:rPr>
      </w:pPr>
      <w:r>
        <w:rPr>
          <w:rFonts w:hint="eastAsia" w:ascii="楷体" w:hAnsi="楷体" w:eastAsia="楷体" w:cs="楷体_GB2312"/>
          <w:b/>
          <w:sz w:val="32"/>
          <w:szCs w:val="32"/>
        </w:rPr>
        <w:t>（五）推进监管系统建设</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在市地方金融监管局指导下，基于企业反馈、专业人员意见及监管信息数据要求，梳理监管系统改进完善意见建议，协助配合推进监管系统建设与分类监管，以及持续督促试填报企业按期填报信息系统。</w:t>
      </w:r>
    </w:p>
    <w:p>
      <w:pPr>
        <w:spacing w:line="560" w:lineRule="exact"/>
        <w:ind w:firstLine="643" w:firstLineChars="200"/>
        <w:outlineLvl w:val="0"/>
        <w:rPr>
          <w:rFonts w:ascii="楷体" w:hAnsi="楷体" w:eastAsia="楷体" w:cs="楷体_GB2312"/>
          <w:bCs/>
          <w:sz w:val="32"/>
          <w:szCs w:val="32"/>
        </w:rPr>
      </w:pPr>
      <w:r>
        <w:rPr>
          <w:rFonts w:hint="eastAsia" w:ascii="楷体" w:hAnsi="楷体" w:eastAsia="楷体" w:cs="楷体_GB2312"/>
          <w:b/>
          <w:sz w:val="32"/>
          <w:szCs w:val="32"/>
        </w:rPr>
        <w:t>（六）行业简报与政策建议</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搜集整理行业动态，统计行业有关数据，每月形成行业监管月报；开展各地商业保理行业扶持政策对比分析，结合我市实际研究提出商业保理行业发展扶持的政策建议，形成专题报告。</w:t>
      </w:r>
    </w:p>
    <w:p>
      <w:pPr>
        <w:spacing w:line="560" w:lineRule="exact"/>
        <w:ind w:firstLine="643" w:firstLineChars="200"/>
        <w:outlineLvl w:val="0"/>
        <w:rPr>
          <w:rFonts w:ascii="楷体" w:hAnsi="楷体" w:eastAsia="楷体" w:cs="楷体_GB2312"/>
          <w:bCs/>
          <w:sz w:val="32"/>
          <w:szCs w:val="32"/>
        </w:rPr>
      </w:pPr>
      <w:r>
        <w:rPr>
          <w:rFonts w:hint="eastAsia" w:ascii="楷体" w:hAnsi="楷体" w:eastAsia="楷体" w:cs="楷体_GB2312"/>
          <w:b/>
          <w:sz w:val="32"/>
          <w:szCs w:val="32"/>
        </w:rPr>
        <w:t>（七）分支机构摸排</w:t>
      </w:r>
    </w:p>
    <w:p>
      <w:pPr>
        <w:spacing w:line="560" w:lineRule="exact"/>
        <w:ind w:firstLine="640" w:firstLineChars="200"/>
      </w:pPr>
      <w:r>
        <w:rPr>
          <w:rFonts w:hint="eastAsia" w:ascii="仿宋_GB2312" w:hAnsi="仿宋_GB2312" w:eastAsia="仿宋_GB2312" w:cs="仿宋_GB2312"/>
          <w:bCs/>
          <w:sz w:val="32"/>
          <w:szCs w:val="32"/>
        </w:rPr>
        <w:t>按照市地方金融监管局要求，对本市及市外商业保理公司在深分支机构进行相关摸排工作，形成分支机构信息统计汇总表。</w:t>
      </w:r>
    </w:p>
    <w:p>
      <w:pPr>
        <w:spacing w:line="560" w:lineRule="exact"/>
        <w:ind w:firstLine="643" w:firstLineChars="200"/>
        <w:outlineLvl w:val="0"/>
        <w:rPr>
          <w:rFonts w:ascii="楷体" w:hAnsi="楷体" w:eastAsia="楷体" w:cs="楷体_GB2312"/>
          <w:bCs/>
          <w:sz w:val="32"/>
          <w:szCs w:val="32"/>
        </w:rPr>
      </w:pPr>
      <w:r>
        <w:rPr>
          <w:rFonts w:hint="eastAsia" w:ascii="楷体" w:hAnsi="楷体" w:eastAsia="楷体" w:cs="楷体_GB2312"/>
          <w:b/>
          <w:sz w:val="32"/>
          <w:szCs w:val="32"/>
        </w:rPr>
        <w:t>（八）撰写工作报告</w:t>
      </w:r>
    </w:p>
    <w:p>
      <w:pPr>
        <w:spacing w:line="560" w:lineRule="exact"/>
        <w:ind w:firstLine="640" w:firstLineChars="200"/>
      </w:pPr>
      <w:r>
        <w:rPr>
          <w:rFonts w:hint="eastAsia" w:ascii="仿宋_GB2312" w:hAnsi="仿宋_GB2312" w:eastAsia="仿宋_GB2312" w:cs="仿宋_GB2312"/>
          <w:bCs/>
          <w:sz w:val="32"/>
          <w:szCs w:val="32"/>
        </w:rPr>
        <w:t>根据以上主要工作情况撰写</w:t>
      </w:r>
      <w:r>
        <w:rPr>
          <w:rFonts w:hint="eastAsia" w:ascii="仿宋_GB2312" w:hAnsi="仿宋_GB2312" w:eastAsia="仿宋_GB2312" w:cs="仿宋_GB2312"/>
          <w:sz w:val="32"/>
          <w:szCs w:val="32"/>
        </w:rPr>
        <w:t>风险排查</w:t>
      </w:r>
      <w:r>
        <w:rPr>
          <w:rFonts w:hint="eastAsia" w:ascii="仿宋_GB2312" w:hAnsi="仿宋_GB2312" w:eastAsia="仿宋_GB2312" w:cs="仿宋_GB2312"/>
          <w:bCs/>
          <w:sz w:val="32"/>
          <w:szCs w:val="32"/>
        </w:rPr>
        <w:t>工作报告，内容包括但不限于行业整体情况、排查工作情况、风险核查情况、分类处置情况、监管系统建设情况、监管建议等。</w:t>
      </w:r>
    </w:p>
    <w:p>
      <w:pPr>
        <w:tabs>
          <w:tab w:val="left" w:pos="6450"/>
        </w:tabs>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五、工作方式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中介机构需安排10名工作人员参与风险排查工作，其中1人派驻在市地方金融监管局办公，负责风险排查日常事务；其余9人可根据工作部署灵活调整，确保各项具体工作有序推进。</w:t>
      </w:r>
    </w:p>
    <w:p>
      <w:pPr>
        <w:tabs>
          <w:tab w:val="left" w:pos="6450"/>
        </w:tabs>
        <w:spacing w:line="560" w:lineRule="exact"/>
        <w:ind w:firstLine="640" w:firstLineChars="200"/>
        <w:jc w:val="left"/>
        <w:outlineLvl w:val="0"/>
        <w:rPr>
          <w:rFonts w:hint="eastAsia" w:ascii="黑体" w:hAnsi="黑体" w:eastAsia="黑体" w:cs="Times New Roman"/>
          <w:sz w:val="32"/>
          <w:szCs w:val="32"/>
        </w:rPr>
      </w:pPr>
      <w:r>
        <w:rPr>
          <w:rFonts w:hint="eastAsia" w:ascii="黑体" w:hAnsi="黑体" w:eastAsia="黑体"/>
          <w:sz w:val="32"/>
          <w:szCs w:val="32"/>
        </w:rPr>
        <w:t>六</w:t>
      </w:r>
      <w:r>
        <w:rPr>
          <w:rFonts w:hint="eastAsia" w:ascii="黑体" w:hAnsi="黑体" w:eastAsia="黑体" w:cs="Times New Roman"/>
          <w:sz w:val="32"/>
          <w:szCs w:val="32"/>
        </w:rPr>
        <w:t>、中介机构监督管理</w:t>
      </w:r>
    </w:p>
    <w:p>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sz w:val="32"/>
          <w:szCs w:val="32"/>
        </w:rPr>
        <w:t>市地方金融监管局</w:t>
      </w:r>
      <w:r>
        <w:rPr>
          <w:rFonts w:hint="eastAsia" w:ascii="仿宋_GB2312" w:hAnsi="仿宋_GB2312" w:eastAsia="仿宋_GB2312" w:cs="仿宋_GB2312"/>
          <w:bCs/>
          <w:sz w:val="32"/>
          <w:szCs w:val="32"/>
        </w:rPr>
        <w:t>将对中介机构工作质量进行抽查，如发现中介机构未能按照排查要求和质量标准进行排查，</w:t>
      </w:r>
      <w:r>
        <w:rPr>
          <w:rFonts w:hint="eastAsia" w:ascii="仿宋_GB2312" w:hAnsi="仿宋_GB2312" w:eastAsia="仿宋_GB2312" w:cs="仿宋_GB2312"/>
          <w:sz w:val="32"/>
          <w:szCs w:val="32"/>
        </w:rPr>
        <w:t>市地方金融监管局</w:t>
      </w:r>
      <w:r>
        <w:rPr>
          <w:rFonts w:hint="eastAsia" w:ascii="仿宋_GB2312" w:hAnsi="仿宋_GB2312" w:eastAsia="仿宋_GB2312" w:cs="仿宋_GB2312"/>
          <w:bCs/>
          <w:sz w:val="32"/>
          <w:szCs w:val="32"/>
        </w:rPr>
        <w:t>将有权扣除或拒绝支付服务费用，并有权更换中介机构重新进行风险排查。</w:t>
      </w:r>
    </w:p>
    <w:p>
      <w:pPr>
        <w:spacing w:line="560" w:lineRule="exact"/>
        <w:ind w:firstLine="640"/>
        <w:jc w:val="left"/>
        <w:outlineLvl w:val="0"/>
        <w:rPr>
          <w:rFonts w:ascii="仿宋_GB2312" w:hAnsi="仿宋" w:eastAsia="仿宋_GB2312" w:cs="仿宋"/>
          <w:sz w:val="32"/>
          <w:szCs w:val="32"/>
        </w:rPr>
      </w:pPr>
      <w:r>
        <w:rPr>
          <w:rFonts w:hint="eastAsia" w:ascii="黑体" w:hAnsi="黑体" w:eastAsia="黑体" w:cs="黑体"/>
          <w:sz w:val="32"/>
          <w:szCs w:val="32"/>
        </w:rPr>
        <w:t>七、费用预算</w:t>
      </w:r>
    </w:p>
    <w:p>
      <w:pPr>
        <w:spacing w:line="560" w:lineRule="exact"/>
        <w:ind w:firstLine="640" w:firstLineChars="200"/>
        <w:jc w:val="left"/>
        <w:rPr>
          <w:sz w:val="32"/>
        </w:rPr>
      </w:pPr>
      <w:r>
        <w:rPr>
          <w:rFonts w:hint="eastAsia" w:ascii="仿宋_GB2312" w:hAnsi="黑体" w:eastAsia="仿宋_GB2312" w:cs="黑体"/>
          <w:sz w:val="32"/>
          <w:szCs w:val="32"/>
        </w:rPr>
        <w:t>根据2020年商业保理行业风险排查项目预算申报，预估本次风险排查总费用约20万元。</w:t>
      </w:r>
    </w:p>
    <w:p>
      <w:pPr>
        <w:rPr>
          <w:sz w:val="32"/>
        </w:rPr>
      </w:pPr>
      <w:bookmarkStart w:id="0" w:name="_GoBack"/>
      <w:bookmarkEnd w:id="0"/>
    </w:p>
    <w:sectPr>
      <w:footerReference r:id="rId6" w:type="default"/>
      <w:pgSz w:w="11907" w:h="16840"/>
      <w:pgMar w:top="1701" w:right="1588" w:bottom="1701" w:left="1588" w:header="851" w:footer="851" w:gutter="0"/>
      <w:pgNumType w:start="1"/>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0"/>
      </w:rPr>
    </w:pPr>
    <w:r>
      <w:fldChar w:fldCharType="begin"/>
    </w:r>
    <w:r>
      <w:rPr>
        <w:rStyle w:val="10"/>
      </w:rPr>
      <w:instrText xml:space="preserve">PAGE  </w:instrText>
    </w:r>
    <w:r>
      <w:fldChar w:fldCharType="separate"/>
    </w:r>
    <w:r>
      <w:rPr>
        <w:rStyle w:val="10"/>
      </w:rPr>
      <w:t>1</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BD"/>
    <w:rsid w:val="00041A92"/>
    <w:rsid w:val="0005301B"/>
    <w:rsid w:val="000C4BD6"/>
    <w:rsid w:val="000C4E53"/>
    <w:rsid w:val="000C56B1"/>
    <w:rsid w:val="00106378"/>
    <w:rsid w:val="00191F5A"/>
    <w:rsid w:val="001B0352"/>
    <w:rsid w:val="001D5698"/>
    <w:rsid w:val="001D601C"/>
    <w:rsid w:val="00226169"/>
    <w:rsid w:val="002273F0"/>
    <w:rsid w:val="00275D2A"/>
    <w:rsid w:val="002D1F4F"/>
    <w:rsid w:val="003A5315"/>
    <w:rsid w:val="003B4990"/>
    <w:rsid w:val="003B4FFE"/>
    <w:rsid w:val="003C3BF9"/>
    <w:rsid w:val="003E17D7"/>
    <w:rsid w:val="003E40CD"/>
    <w:rsid w:val="003F09EF"/>
    <w:rsid w:val="00442381"/>
    <w:rsid w:val="004456ED"/>
    <w:rsid w:val="00446FAB"/>
    <w:rsid w:val="00495FD9"/>
    <w:rsid w:val="004B6D2A"/>
    <w:rsid w:val="004C3913"/>
    <w:rsid w:val="004E425D"/>
    <w:rsid w:val="004E47C1"/>
    <w:rsid w:val="004E5DE3"/>
    <w:rsid w:val="00517CD3"/>
    <w:rsid w:val="0057486E"/>
    <w:rsid w:val="005902BC"/>
    <w:rsid w:val="00624D1B"/>
    <w:rsid w:val="006625BF"/>
    <w:rsid w:val="00694F91"/>
    <w:rsid w:val="006D0BF7"/>
    <w:rsid w:val="00766967"/>
    <w:rsid w:val="007A1480"/>
    <w:rsid w:val="007A79BE"/>
    <w:rsid w:val="00800332"/>
    <w:rsid w:val="0081372D"/>
    <w:rsid w:val="008245CA"/>
    <w:rsid w:val="00825196"/>
    <w:rsid w:val="008608BD"/>
    <w:rsid w:val="0087072E"/>
    <w:rsid w:val="00882DDE"/>
    <w:rsid w:val="00883ED3"/>
    <w:rsid w:val="008B64DF"/>
    <w:rsid w:val="008D5491"/>
    <w:rsid w:val="008F2CD1"/>
    <w:rsid w:val="00914F73"/>
    <w:rsid w:val="009438C1"/>
    <w:rsid w:val="00992C59"/>
    <w:rsid w:val="00996255"/>
    <w:rsid w:val="009A0935"/>
    <w:rsid w:val="009D2781"/>
    <w:rsid w:val="009F7CF2"/>
    <w:rsid w:val="00A3708B"/>
    <w:rsid w:val="00A6121B"/>
    <w:rsid w:val="00A66EF6"/>
    <w:rsid w:val="00A71E45"/>
    <w:rsid w:val="00A74FB1"/>
    <w:rsid w:val="00A87290"/>
    <w:rsid w:val="00AB384F"/>
    <w:rsid w:val="00AF3BE6"/>
    <w:rsid w:val="00B03D84"/>
    <w:rsid w:val="00B32623"/>
    <w:rsid w:val="00B4009B"/>
    <w:rsid w:val="00B7109F"/>
    <w:rsid w:val="00BC74B3"/>
    <w:rsid w:val="00BD4A53"/>
    <w:rsid w:val="00BE0C4B"/>
    <w:rsid w:val="00C50654"/>
    <w:rsid w:val="00C66FD3"/>
    <w:rsid w:val="00CA3562"/>
    <w:rsid w:val="00CD3C5A"/>
    <w:rsid w:val="00D31E8C"/>
    <w:rsid w:val="00D53AE8"/>
    <w:rsid w:val="00DA174A"/>
    <w:rsid w:val="00DD2DD0"/>
    <w:rsid w:val="00DE3B50"/>
    <w:rsid w:val="00DE3CBA"/>
    <w:rsid w:val="00E05B33"/>
    <w:rsid w:val="00E206C2"/>
    <w:rsid w:val="00E56C8B"/>
    <w:rsid w:val="00E7675B"/>
    <w:rsid w:val="00EA6CDD"/>
    <w:rsid w:val="00ED46C5"/>
    <w:rsid w:val="00EF4808"/>
    <w:rsid w:val="00F011C5"/>
    <w:rsid w:val="00F05783"/>
    <w:rsid w:val="00F26F37"/>
    <w:rsid w:val="00F51226"/>
    <w:rsid w:val="00F7359B"/>
    <w:rsid w:val="00F91954"/>
    <w:rsid w:val="00FB2E24"/>
    <w:rsid w:val="00FD5161"/>
    <w:rsid w:val="022053AC"/>
    <w:rsid w:val="0345099E"/>
    <w:rsid w:val="07D51683"/>
    <w:rsid w:val="097719B7"/>
    <w:rsid w:val="09E71CB0"/>
    <w:rsid w:val="0AB868F9"/>
    <w:rsid w:val="0C197929"/>
    <w:rsid w:val="0C77539F"/>
    <w:rsid w:val="0E5568C5"/>
    <w:rsid w:val="0E971421"/>
    <w:rsid w:val="10E06926"/>
    <w:rsid w:val="139C7727"/>
    <w:rsid w:val="14A50CC8"/>
    <w:rsid w:val="14CF635B"/>
    <w:rsid w:val="14DD4C3B"/>
    <w:rsid w:val="16834785"/>
    <w:rsid w:val="17AF4EE2"/>
    <w:rsid w:val="1CC01724"/>
    <w:rsid w:val="2170743C"/>
    <w:rsid w:val="247C06C2"/>
    <w:rsid w:val="268F3949"/>
    <w:rsid w:val="27172D6A"/>
    <w:rsid w:val="27793BEA"/>
    <w:rsid w:val="288C229B"/>
    <w:rsid w:val="29CD73A5"/>
    <w:rsid w:val="2B38569E"/>
    <w:rsid w:val="2E6F4074"/>
    <w:rsid w:val="326D53A0"/>
    <w:rsid w:val="33965FA3"/>
    <w:rsid w:val="343D3B61"/>
    <w:rsid w:val="3458079F"/>
    <w:rsid w:val="345B6081"/>
    <w:rsid w:val="346760E6"/>
    <w:rsid w:val="387D0CDC"/>
    <w:rsid w:val="3A287215"/>
    <w:rsid w:val="3F1A3C9C"/>
    <w:rsid w:val="40B813C4"/>
    <w:rsid w:val="428C321A"/>
    <w:rsid w:val="43C6061F"/>
    <w:rsid w:val="45142678"/>
    <w:rsid w:val="45A71F29"/>
    <w:rsid w:val="4AD14003"/>
    <w:rsid w:val="53D04309"/>
    <w:rsid w:val="53E76F48"/>
    <w:rsid w:val="55897136"/>
    <w:rsid w:val="59617B1D"/>
    <w:rsid w:val="5C176110"/>
    <w:rsid w:val="5F0763A6"/>
    <w:rsid w:val="5F9E4BDC"/>
    <w:rsid w:val="60961E2E"/>
    <w:rsid w:val="61B545B2"/>
    <w:rsid w:val="63AA6514"/>
    <w:rsid w:val="63CB1331"/>
    <w:rsid w:val="655C46E9"/>
    <w:rsid w:val="6646617B"/>
    <w:rsid w:val="67667EDD"/>
    <w:rsid w:val="67FB68EC"/>
    <w:rsid w:val="6806052B"/>
    <w:rsid w:val="6A252E53"/>
    <w:rsid w:val="6D5708BA"/>
    <w:rsid w:val="6DA46659"/>
    <w:rsid w:val="6E3C2BBA"/>
    <w:rsid w:val="6E880D3A"/>
    <w:rsid w:val="6F206157"/>
    <w:rsid w:val="6FF02E21"/>
    <w:rsid w:val="70713931"/>
    <w:rsid w:val="722729E2"/>
    <w:rsid w:val="76072F92"/>
    <w:rsid w:val="763B46C3"/>
    <w:rsid w:val="78FA71CF"/>
    <w:rsid w:val="7FC066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方正大标宋简体" w:hAnsi="宋体" w:eastAsia="方正大标宋简体"/>
      <w:sz w:val="36"/>
      <w:szCs w:val="36"/>
    </w:rPr>
  </w:style>
  <w:style w:type="paragraph" w:styleId="4">
    <w:name w:val="Plain Text"/>
    <w:basedOn w:val="1"/>
    <w:link w:val="21"/>
    <w:qFormat/>
    <w:uiPriority w:val="0"/>
    <w:rPr>
      <w:rFonts w:ascii="宋体" w:hAnsi="Courier New" w:cstheme="minorBidi"/>
      <w:szCs w:val="21"/>
    </w:rPr>
  </w:style>
  <w:style w:type="paragraph" w:styleId="5">
    <w:name w:val="footer"/>
    <w:basedOn w:val="1"/>
    <w:link w:val="23"/>
    <w:qFormat/>
    <w:uiPriority w:val="0"/>
    <w:pPr>
      <w:tabs>
        <w:tab w:val="center" w:pos="4153"/>
        <w:tab w:val="right" w:pos="8306"/>
      </w:tabs>
      <w:spacing w:line="240" w:lineRule="atLeast"/>
    </w:pPr>
    <w:rPr>
      <w:sz w:val="18"/>
    </w:rPr>
  </w:style>
  <w:style w:type="paragraph" w:styleId="6">
    <w:name w:val="header"/>
    <w:basedOn w:val="1"/>
    <w:link w:val="22"/>
    <w:qFormat/>
    <w:uiPriority w:val="99"/>
    <w:pPr>
      <w:pBdr>
        <w:bottom w:val="single" w:color="auto" w:sz="6" w:space="1"/>
      </w:pBdr>
      <w:tabs>
        <w:tab w:val="center" w:pos="4153"/>
        <w:tab w:val="right" w:pos="8306"/>
      </w:tabs>
      <w:spacing w:line="240" w:lineRule="atLeast"/>
      <w:jc w:val="center"/>
    </w:pPr>
    <w:rPr>
      <w:rFonts w:asciiTheme="minorHAnsi" w:hAnsiTheme="minorHAnsi" w:eastAsiaTheme="minorEastAsia" w:cstheme="minorBidi"/>
      <w:sz w:val="18"/>
    </w:rPr>
  </w:style>
  <w:style w:type="paragraph" w:styleId="7">
    <w:name w:val="toc 1"/>
    <w:basedOn w:val="1"/>
    <w:next w:val="1"/>
    <w:qFormat/>
    <w:uiPriority w:val="39"/>
  </w:style>
  <w:style w:type="character" w:styleId="10">
    <w:name w:val="page number"/>
    <w:qFormat/>
    <w:uiPriority w:val="0"/>
  </w:style>
  <w:style w:type="character" w:styleId="11">
    <w:name w:val="Hyperlink"/>
    <w:unhideWhenUsed/>
    <w:qFormat/>
    <w:uiPriority w:val="99"/>
    <w:rPr>
      <w:color w:val="0000FF"/>
      <w:u w:val="single"/>
    </w:rPr>
  </w:style>
  <w:style w:type="character" w:customStyle="1" w:styleId="12">
    <w:name w:val="标题 1 Char"/>
    <w:basedOn w:val="9"/>
    <w:link w:val="3"/>
    <w:qFormat/>
    <w:uiPriority w:val="9"/>
    <w:rPr>
      <w:rFonts w:ascii="Calibri" w:hAnsi="Calibri" w:eastAsia="宋体" w:cs="Times New Roman"/>
      <w:b/>
      <w:bCs/>
      <w:kern w:val="44"/>
      <w:sz w:val="44"/>
      <w:szCs w:val="44"/>
    </w:rPr>
  </w:style>
  <w:style w:type="character" w:customStyle="1" w:styleId="13">
    <w:name w:val="函 标题 Char"/>
    <w:link w:val="14"/>
    <w:qFormat/>
    <w:uiPriority w:val="0"/>
    <w:rPr>
      <w:rFonts w:ascii="Calibri" w:hAnsi="Calibri" w:eastAsia="宋体" w:cs="Times New Roman"/>
      <w:b/>
      <w:bCs/>
      <w:kern w:val="44"/>
      <w:sz w:val="44"/>
      <w:szCs w:val="44"/>
    </w:rPr>
  </w:style>
  <w:style w:type="paragraph" w:customStyle="1" w:styleId="14">
    <w:name w:val="函 标题"/>
    <w:basedOn w:val="1"/>
    <w:link w:val="13"/>
    <w:qFormat/>
    <w:uiPriority w:val="0"/>
    <w:pPr>
      <w:tabs>
        <w:tab w:val="left" w:pos="7020"/>
      </w:tabs>
      <w:spacing w:line="60" w:lineRule="auto"/>
      <w:ind w:right="69" w:rightChars="33"/>
      <w:jc w:val="center"/>
    </w:pPr>
    <w:rPr>
      <w:b/>
      <w:bCs/>
      <w:kern w:val="44"/>
      <w:sz w:val="44"/>
      <w:szCs w:val="44"/>
    </w:rPr>
  </w:style>
  <w:style w:type="character" w:customStyle="1" w:styleId="15">
    <w:name w:val="页眉 Char"/>
    <w:link w:val="6"/>
    <w:qFormat/>
    <w:uiPriority w:val="99"/>
    <w:rPr>
      <w:sz w:val="18"/>
    </w:rPr>
  </w:style>
  <w:style w:type="character" w:customStyle="1" w:styleId="16">
    <w:name w:val="纯文本 Char"/>
    <w:link w:val="4"/>
    <w:qFormat/>
    <w:uiPriority w:val="0"/>
    <w:rPr>
      <w:rFonts w:ascii="宋体" w:hAnsi="Courier New" w:eastAsia="宋体"/>
      <w:szCs w:val="21"/>
    </w:rPr>
  </w:style>
  <w:style w:type="character" w:customStyle="1" w:styleId="17">
    <w:name w:val="函 一级标题 Char"/>
    <w:link w:val="18"/>
    <w:qFormat/>
    <w:uiPriority w:val="0"/>
    <w:rPr>
      <w:rFonts w:ascii="黑体" w:hAnsi="Calibri" w:eastAsia="黑体" w:cs="Times New Roman"/>
      <w:color w:val="000000"/>
      <w:kern w:val="0"/>
      <w:sz w:val="32"/>
      <w:szCs w:val="32"/>
    </w:rPr>
  </w:style>
  <w:style w:type="paragraph" w:customStyle="1" w:styleId="18">
    <w:name w:val="函 一级标题"/>
    <w:basedOn w:val="19"/>
    <w:link w:val="17"/>
    <w:qFormat/>
    <w:uiPriority w:val="0"/>
    <w:rPr>
      <w:rFonts w:ascii="黑体" w:eastAsia="黑体"/>
      <w:color w:val="000000"/>
      <w:szCs w:val="32"/>
    </w:rPr>
  </w:style>
  <w:style w:type="paragraph" w:customStyle="1" w:styleId="19">
    <w:name w:val="函 正文"/>
    <w:basedOn w:val="1"/>
    <w:link w:val="20"/>
    <w:qFormat/>
    <w:uiPriority w:val="0"/>
    <w:pPr>
      <w:spacing w:line="560" w:lineRule="exact"/>
    </w:pPr>
    <w:rPr>
      <w:rFonts w:ascii="仿宋_GB2312" w:eastAsia="仿宋_GB2312"/>
      <w:kern w:val="0"/>
      <w:sz w:val="32"/>
      <w:szCs w:val="24"/>
    </w:rPr>
  </w:style>
  <w:style w:type="character" w:customStyle="1" w:styleId="20">
    <w:name w:val="函 正文 Char"/>
    <w:link w:val="19"/>
    <w:qFormat/>
    <w:uiPriority w:val="0"/>
    <w:rPr>
      <w:rFonts w:ascii="仿宋_GB2312" w:hAnsi="Calibri" w:eastAsia="仿宋_GB2312" w:cs="Times New Roman"/>
      <w:kern w:val="0"/>
      <w:sz w:val="32"/>
      <w:szCs w:val="24"/>
    </w:rPr>
  </w:style>
  <w:style w:type="character" w:customStyle="1" w:styleId="21">
    <w:name w:val="纯文本 Char1"/>
    <w:basedOn w:val="9"/>
    <w:link w:val="4"/>
    <w:semiHidden/>
    <w:qFormat/>
    <w:uiPriority w:val="99"/>
    <w:rPr>
      <w:rFonts w:ascii="宋体" w:hAnsi="Courier New" w:eastAsia="宋体" w:cs="Courier New"/>
      <w:szCs w:val="21"/>
    </w:rPr>
  </w:style>
  <w:style w:type="character" w:customStyle="1" w:styleId="22">
    <w:name w:val="页眉 Char1"/>
    <w:basedOn w:val="9"/>
    <w:link w:val="6"/>
    <w:semiHidden/>
    <w:qFormat/>
    <w:uiPriority w:val="99"/>
    <w:rPr>
      <w:rFonts w:ascii="Calibri" w:hAnsi="Calibri" w:eastAsia="宋体" w:cs="Times New Roman"/>
      <w:sz w:val="18"/>
      <w:szCs w:val="18"/>
    </w:rPr>
  </w:style>
  <w:style w:type="character" w:customStyle="1" w:styleId="23">
    <w:name w:val="页脚 Char"/>
    <w:basedOn w:val="9"/>
    <w:link w:val="5"/>
    <w:qFormat/>
    <w:uiPriority w:val="0"/>
    <w:rPr>
      <w:rFonts w:ascii="Calibri" w:hAnsi="Calibri"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21</Pages>
  <Words>1064</Words>
  <Characters>6070</Characters>
  <Lines>50</Lines>
  <Paragraphs>14</Paragraphs>
  <TotalTime>0</TotalTime>
  <ScaleCrop>false</ScaleCrop>
  <LinksUpToDate>false</LinksUpToDate>
  <CharactersWithSpaces>7120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2020-09-07T06:51:00Z</dcterms:created>
  <dc:creator>李冬愔</dc:creator>
  <cp:lastModifiedBy>李冬愔</cp:lastModifiedBy>
  <cp:lastPrinted>2020-09-08T01:10:00Z</cp:lastPrinted>
  <dcterms:modified xsi:type="dcterms:W3CDTF">2020-09-08T01:45:00Z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