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color w:val="000000"/>
          <w:sz w:val="32"/>
          <w:szCs w:val="32"/>
        </w:rPr>
      </w:pPr>
      <w:r>
        <w:rPr>
          <w:rFonts w:hint="eastAsia" w:ascii="仿宋_GB2312"/>
          <w:color w:val="000000"/>
          <w:sz w:val="32"/>
          <w:szCs w:val="32"/>
        </w:rPr>
        <w:t>附件3</w:t>
      </w:r>
    </w:p>
    <w:p>
      <w:pPr>
        <w:pStyle w:val="15"/>
        <w:rPr>
          <w:rFonts w:hint="eastAsia" w:ascii="华文中宋" w:hAnsi="华文中宋" w:eastAsia="华文中宋"/>
        </w:rPr>
      </w:pPr>
      <w:r>
        <w:rPr>
          <w:rFonts w:hint="eastAsia" w:ascii="华文中宋" w:hAnsi="华文中宋" w:eastAsia="华文中宋"/>
        </w:rPr>
        <w:t>深圳市重大活动餐饮服务供餐单位现场评估表</w:t>
      </w:r>
    </w:p>
    <w:p>
      <w:pPr>
        <w:pStyle w:val="15"/>
        <w:rPr>
          <w:rFonts w:hint="eastAsia" w:ascii="华文中宋" w:hAnsi="华文中宋" w:eastAsia="华文中宋"/>
        </w:rPr>
      </w:pPr>
    </w:p>
    <w:tbl>
      <w:tblPr>
        <w:tblStyle w:val="8"/>
        <w:tblW w:w="15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34"/>
        <w:gridCol w:w="8115"/>
        <w:gridCol w:w="2160"/>
        <w:gridCol w:w="814"/>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blHeader/>
          <w:jc w:val="center"/>
        </w:trPr>
        <w:tc>
          <w:tcPr>
            <w:tcW w:w="1383"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评估内容</w:t>
            </w:r>
          </w:p>
        </w:tc>
        <w:tc>
          <w:tcPr>
            <w:tcW w:w="1134"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编号/</w:t>
            </w:r>
          </w:p>
          <w:p>
            <w:pPr>
              <w:widowControl/>
              <w:jc w:val="center"/>
              <w:rPr>
                <w:rFonts w:ascii="仿宋_GB2312" w:hAnsi="宋体" w:cs="宋体"/>
                <w:b/>
                <w:bCs/>
                <w:kern w:val="0"/>
                <w:sz w:val="24"/>
              </w:rPr>
            </w:pPr>
            <w:r>
              <w:rPr>
                <w:rFonts w:hint="eastAsia" w:ascii="仿宋_GB2312" w:hAnsi="宋体" w:cs="宋体"/>
                <w:b/>
                <w:bCs/>
                <w:kern w:val="0"/>
                <w:sz w:val="24"/>
              </w:rPr>
              <w:t>分数</w:t>
            </w:r>
          </w:p>
        </w:tc>
        <w:tc>
          <w:tcPr>
            <w:tcW w:w="8115"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评估项目与评分标准</w:t>
            </w:r>
          </w:p>
        </w:tc>
        <w:tc>
          <w:tcPr>
            <w:tcW w:w="2160"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评估情况</w:t>
            </w:r>
          </w:p>
        </w:tc>
        <w:tc>
          <w:tcPr>
            <w:tcW w:w="814"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扣分</w:t>
            </w:r>
          </w:p>
        </w:tc>
        <w:tc>
          <w:tcPr>
            <w:tcW w:w="1551"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否决项</w:t>
            </w:r>
          </w:p>
        </w:tc>
        <w:tc>
          <w:tcPr>
            <w:tcW w:w="1134" w:type="dxa"/>
            <w:shd w:val="clear" w:color="000000" w:fill="FFFFFF"/>
            <w:vAlign w:val="center"/>
          </w:tcPr>
          <w:p>
            <w:pPr>
              <w:widowControl/>
              <w:jc w:val="center"/>
              <w:rPr>
                <w:rFonts w:ascii="仿宋_GB2312" w:hAnsi="宋体" w:cs="宋体"/>
                <w:color w:val="000000"/>
                <w:kern w:val="0"/>
                <w:sz w:val="24"/>
              </w:rPr>
            </w:pPr>
          </w:p>
        </w:tc>
        <w:tc>
          <w:tcPr>
            <w:tcW w:w="8115" w:type="dxa"/>
            <w:shd w:val="clear" w:color="000000" w:fill="FFFFFF"/>
            <w:vAlign w:val="center"/>
          </w:tcPr>
          <w:p>
            <w:pPr>
              <w:widowControl/>
              <w:jc w:val="left"/>
              <w:rPr>
                <w:rFonts w:hint="eastAsia" w:ascii="仿宋_GB2312" w:hAnsi="宋体" w:eastAsia="仿宋_GB2312" w:cs="宋体"/>
                <w:color w:val="000000"/>
                <w:kern w:val="0"/>
                <w:sz w:val="24"/>
                <w:szCs w:val="22"/>
                <w:lang w:eastAsia="zh-CN"/>
              </w:rPr>
            </w:pPr>
            <w:r>
              <w:rPr>
                <w:rFonts w:hint="eastAsia" w:ascii="仿宋_GB2312" w:hAnsi="宋体" w:cs="宋体"/>
                <w:b/>
                <w:bCs/>
                <w:color w:val="000000"/>
                <w:kern w:val="0"/>
                <w:sz w:val="24"/>
                <w:szCs w:val="22"/>
              </w:rPr>
              <w:t>评估项目：</w:t>
            </w:r>
            <w:r>
              <w:rPr>
                <w:rFonts w:hint="eastAsia" w:ascii="仿宋_GB2312" w:hAnsi="宋体" w:cs="宋体"/>
                <w:color w:val="000000"/>
                <w:kern w:val="0"/>
                <w:sz w:val="24"/>
                <w:szCs w:val="22"/>
              </w:rPr>
              <w:t>1.依法取得有效食品经营许可从事食品经营活动；2.两年内未发生食品安全事故；3.两年内未因违反食品安全法等法律法规受到行政处罚的行为</w:t>
            </w:r>
            <w:r>
              <w:rPr>
                <w:rFonts w:hint="eastAsia" w:ascii="仿宋_GB2312" w:hAnsi="宋体" w:cs="宋体"/>
                <w:color w:val="000000"/>
                <w:kern w:val="0"/>
                <w:sz w:val="24"/>
                <w:szCs w:val="22"/>
                <w:lang w:eastAsia="zh-CN"/>
              </w:rPr>
              <w:t>。</w:t>
            </w:r>
            <w:bookmarkStart w:id="0" w:name="_GoBack"/>
            <w:bookmarkEnd w:id="0"/>
          </w:p>
          <w:p>
            <w:pPr>
              <w:widowControl/>
              <w:jc w:val="left"/>
              <w:rPr>
                <w:rFonts w:ascii="仿宋_GB2312" w:hAnsi="宋体" w:cs="宋体"/>
                <w:kern w:val="0"/>
                <w:sz w:val="24"/>
              </w:rPr>
            </w:pPr>
            <w:r>
              <w:rPr>
                <w:rFonts w:hint="eastAsia" w:ascii="仿宋_GB2312" w:hAnsi="宋体" w:cs="宋体"/>
                <w:b/>
                <w:bCs/>
                <w:color w:val="000000"/>
                <w:kern w:val="0"/>
                <w:sz w:val="24"/>
                <w:szCs w:val="22"/>
              </w:rPr>
              <w:t>评分标准：</w:t>
            </w:r>
            <w:r>
              <w:rPr>
                <w:rFonts w:hint="eastAsia" w:ascii="仿宋_GB2312" w:hAnsi="宋体" w:cs="宋体"/>
                <w:color w:val="000000"/>
                <w:kern w:val="0"/>
                <w:sz w:val="24"/>
                <w:szCs w:val="22"/>
              </w:rPr>
              <w:t>如有违反以上情况任何一条将直接取消评估资格。</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383" w:type="dxa"/>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w:t>
            </w:r>
          </w:p>
          <w:p>
            <w:pPr>
              <w:jc w:val="center"/>
              <w:rPr>
                <w:rFonts w:ascii="仿宋_GB2312" w:hAnsi="宋体" w:cs="宋体"/>
                <w:kern w:val="0"/>
                <w:sz w:val="24"/>
              </w:rPr>
            </w:pPr>
            <w:r>
              <w:rPr>
                <w:rFonts w:hint="eastAsia" w:ascii="仿宋_GB2312" w:hAnsi="宋体" w:cs="宋体"/>
                <w:b/>
                <w:bCs/>
                <w:kern w:val="0"/>
                <w:sz w:val="24"/>
              </w:rPr>
              <w:t>证照管理（</w:t>
            </w:r>
            <w:r>
              <w:rPr>
                <w:rFonts w:hint="eastAsia" w:ascii="仿宋_GB2312" w:hAnsi="宋体" w:cs="宋体"/>
                <w:b/>
                <w:bCs/>
                <w:kern w:val="0"/>
                <w:sz w:val="24"/>
                <w:lang w:val="en-US" w:eastAsia="zh-CN"/>
              </w:rPr>
              <w:t>6</w:t>
            </w:r>
            <w:r>
              <w:rPr>
                <w:rFonts w:hint="eastAsia" w:ascii="仿宋_GB2312" w:hAnsi="宋体" w:cs="宋体"/>
                <w:b/>
                <w:bCs/>
                <w:kern w:val="0"/>
                <w:sz w:val="24"/>
              </w:rPr>
              <w:t>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1.1</w:t>
            </w:r>
          </w:p>
          <w:p>
            <w:pPr>
              <w:widowControl/>
              <w:jc w:val="center"/>
              <w:rPr>
                <w:rFonts w:ascii="仿宋_GB2312" w:hAnsi="宋体" w:cs="宋体"/>
                <w:color w:val="000000"/>
                <w:kern w:val="0"/>
                <w:sz w:val="24"/>
              </w:rPr>
            </w:pPr>
            <w:r>
              <w:rPr>
                <w:rFonts w:hint="eastAsia" w:ascii="仿宋_GB2312" w:hAnsi="宋体" w:cs="宋体"/>
                <w:kern w:val="0"/>
                <w:sz w:val="24"/>
              </w:rPr>
              <w:t>（</w:t>
            </w:r>
            <w:r>
              <w:rPr>
                <w:rFonts w:hint="eastAsia" w:ascii="仿宋_GB2312" w:hAnsi="宋体" w:cs="宋体"/>
                <w:kern w:val="0"/>
                <w:sz w:val="24"/>
                <w:lang w:val="en-US" w:eastAsia="zh-CN"/>
              </w:rPr>
              <w:t>6</w:t>
            </w:r>
            <w:r>
              <w:rPr>
                <w:rFonts w:hint="eastAsia" w:ascii="仿宋_GB2312" w:hAnsi="宋体" w:cs="宋体"/>
                <w:kern w:val="0"/>
                <w:sz w:val="24"/>
              </w:rPr>
              <w:t>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szCs w:val="22"/>
              </w:rPr>
              <w:t>营业执照、食品</w:t>
            </w:r>
            <w:r>
              <w:rPr>
                <w:rFonts w:hint="eastAsia" w:ascii="仿宋_GB2312" w:hAnsi="宋体" w:cs="宋体"/>
                <w:kern w:val="0"/>
                <w:sz w:val="24"/>
              </w:rPr>
              <w:t>经营许可证、量化等级标识在</w:t>
            </w:r>
            <w:r>
              <w:rPr>
                <w:rFonts w:hint="eastAsia" w:ascii="仿宋_GB2312" w:hAnsi="宋体" w:cs="宋体"/>
                <w:kern w:val="0"/>
                <w:sz w:val="24"/>
                <w:lang w:eastAsia="zh-CN"/>
              </w:rPr>
              <w:t>显著位置</w:t>
            </w:r>
            <w:r>
              <w:rPr>
                <w:rFonts w:hint="eastAsia" w:ascii="仿宋_GB2312" w:hAnsi="宋体" w:cs="宋体"/>
                <w:kern w:val="0"/>
                <w:sz w:val="24"/>
              </w:rPr>
              <w:t>公示。</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kern w:val="0"/>
                <w:sz w:val="24"/>
              </w:rPr>
              <w:t>未</w:t>
            </w:r>
            <w:r>
              <w:rPr>
                <w:rFonts w:hint="eastAsia" w:ascii="仿宋_GB2312" w:hAnsi="宋体" w:cs="宋体"/>
                <w:kern w:val="0"/>
                <w:sz w:val="24"/>
                <w:lang w:eastAsia="zh-CN"/>
              </w:rPr>
              <w:t>进行</w:t>
            </w:r>
            <w:r>
              <w:rPr>
                <w:rFonts w:hint="eastAsia" w:ascii="仿宋_GB2312" w:hAnsi="宋体" w:cs="宋体"/>
                <w:kern w:val="0"/>
                <w:sz w:val="24"/>
              </w:rPr>
              <w:t>公示的，每项扣2分。</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1383" w:type="dxa"/>
            <w:vMerge w:val="restart"/>
            <w:shd w:val="clear" w:color="000000" w:fill="FFFFFF"/>
            <w:vAlign w:val="center"/>
          </w:tcPr>
          <w:p>
            <w:pPr>
              <w:jc w:val="center"/>
              <w:rPr>
                <w:rFonts w:ascii="仿宋_GB2312" w:hAnsi="宋体" w:cs="宋体"/>
                <w:b/>
                <w:bCs/>
                <w:color w:val="000000"/>
                <w:kern w:val="0"/>
                <w:sz w:val="24"/>
              </w:rPr>
            </w:pPr>
            <w:r>
              <w:rPr>
                <w:rFonts w:hint="eastAsia" w:ascii="仿宋_GB2312" w:hAnsi="宋体" w:cs="宋体"/>
                <w:b/>
                <w:bCs/>
                <w:color w:val="000000"/>
                <w:kern w:val="0"/>
                <w:sz w:val="24"/>
              </w:rPr>
              <w:t>2</w:t>
            </w:r>
          </w:p>
          <w:p>
            <w:pPr>
              <w:jc w:val="center"/>
              <w:rPr>
                <w:rFonts w:ascii="仿宋_GB2312" w:hAnsi="宋体" w:cs="宋体"/>
                <w:b/>
                <w:bCs/>
                <w:color w:val="000000"/>
                <w:kern w:val="0"/>
                <w:sz w:val="24"/>
              </w:rPr>
            </w:pPr>
            <w:r>
              <w:rPr>
                <w:rFonts w:hint="eastAsia" w:ascii="仿宋_GB2312" w:hAnsi="宋体" w:cs="宋体"/>
                <w:b/>
                <w:bCs/>
                <w:color w:val="000000"/>
                <w:kern w:val="0"/>
                <w:sz w:val="24"/>
              </w:rPr>
              <w:t>机构管理</w:t>
            </w:r>
          </w:p>
          <w:p>
            <w:pPr>
              <w:jc w:val="center"/>
              <w:rPr>
                <w:rFonts w:ascii="仿宋_GB2312" w:hAnsi="宋体" w:cs="宋体"/>
                <w:b/>
                <w:bCs/>
                <w:kern w:val="0"/>
                <w:sz w:val="24"/>
              </w:rPr>
            </w:pPr>
            <w:r>
              <w:rPr>
                <w:rFonts w:hint="eastAsia" w:ascii="仿宋_GB2312" w:hAnsi="宋体" w:cs="宋体"/>
                <w:b/>
                <w:bCs/>
                <w:color w:val="000000"/>
                <w:kern w:val="0"/>
                <w:sz w:val="24"/>
              </w:rPr>
              <w:t>（</w:t>
            </w:r>
            <w:r>
              <w:rPr>
                <w:rFonts w:hint="eastAsia" w:ascii="仿宋_GB2312" w:hAnsi="宋体" w:cs="宋体"/>
                <w:b/>
                <w:bCs/>
                <w:color w:val="000000"/>
                <w:kern w:val="0"/>
                <w:sz w:val="24"/>
                <w:lang w:val="en-US" w:eastAsia="zh-CN"/>
              </w:rPr>
              <w:t>16</w:t>
            </w:r>
            <w:r>
              <w:rPr>
                <w:rFonts w:hint="eastAsia" w:ascii="仿宋_GB2312" w:hAnsi="宋体" w:cs="宋体"/>
                <w:b/>
                <w:bCs/>
                <w:color w:val="000000"/>
                <w:kern w:val="0"/>
                <w:sz w:val="24"/>
              </w:rPr>
              <w:t>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2.1</w:t>
            </w:r>
          </w:p>
          <w:p>
            <w:pPr>
              <w:widowControl/>
              <w:jc w:val="center"/>
              <w:rPr>
                <w:rFonts w:ascii="仿宋_GB2312" w:hAnsi="宋体" w:cs="宋体"/>
                <w:color w:val="000000"/>
                <w:kern w:val="0"/>
                <w:sz w:val="24"/>
              </w:rPr>
            </w:pPr>
            <w:r>
              <w:rPr>
                <w:rFonts w:hint="eastAsia" w:ascii="仿宋_GB2312" w:hAnsi="宋体" w:cs="宋体"/>
                <w:color w:val="000000"/>
                <w:kern w:val="0"/>
                <w:sz w:val="24"/>
              </w:rPr>
              <w:t>（3分）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建立食品安全管理组织管理机构，明确关键岗位人员。至少包括：负责人、食品安全管理员、采购</w:t>
            </w:r>
            <w:r>
              <w:rPr>
                <w:rFonts w:hint="eastAsia" w:ascii="仿宋_GB2312" w:hAnsi="宋体" w:cs="Helvetica"/>
                <w:kern w:val="0"/>
                <w:sz w:val="24"/>
              </w:rPr>
              <w:t>查验</w:t>
            </w:r>
            <w:r>
              <w:rPr>
                <w:rFonts w:hint="eastAsia" w:ascii="仿宋_GB2312" w:hAnsi="宋体" w:cs="宋体"/>
                <w:kern w:val="0"/>
                <w:sz w:val="24"/>
              </w:rPr>
              <w:t>等关键岗位。</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Helvetica"/>
                <w:kern w:val="0"/>
                <w:sz w:val="24"/>
                <w:szCs w:val="22"/>
              </w:rPr>
              <w:t>提供相关组织架构设置文件，没有提</w:t>
            </w:r>
            <w:r>
              <w:rPr>
                <w:rFonts w:hint="eastAsia" w:ascii="仿宋_GB2312" w:hAnsi="宋体" w:cs="宋体"/>
                <w:kern w:val="0"/>
                <w:sz w:val="24"/>
              </w:rPr>
              <w:t>供的扣3分；架构不完整的扣1分。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2.2</w:t>
            </w:r>
          </w:p>
          <w:p>
            <w:pPr>
              <w:widowControl/>
              <w:jc w:val="center"/>
              <w:rPr>
                <w:rFonts w:ascii="仿宋_GB2312" w:hAnsi="宋体" w:cs="宋体"/>
                <w:color w:val="000000"/>
                <w:kern w:val="0"/>
                <w:sz w:val="24"/>
              </w:rPr>
            </w:pPr>
            <w:r>
              <w:rPr>
                <w:rFonts w:hint="eastAsia" w:ascii="仿宋_GB2312" w:hAnsi="宋体" w:cs="宋体"/>
                <w:color w:val="000000"/>
                <w:kern w:val="0"/>
                <w:sz w:val="24"/>
              </w:rPr>
              <w:t>（3分）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Helvetica"/>
                <w:kern w:val="0"/>
                <w:sz w:val="24"/>
              </w:rPr>
              <w:t>岗位人员及职责清晰明确。至少包括：</w:t>
            </w:r>
            <w:r>
              <w:rPr>
                <w:rFonts w:hint="eastAsia" w:ascii="仿宋_GB2312" w:hAnsi="宋体" w:cs="宋体"/>
                <w:kern w:val="0"/>
                <w:sz w:val="24"/>
              </w:rPr>
              <w:t>食品安全管理员、采购</w:t>
            </w:r>
            <w:r>
              <w:rPr>
                <w:rFonts w:hint="eastAsia" w:ascii="仿宋_GB2312" w:hAnsi="宋体" w:cs="Helvetica"/>
                <w:kern w:val="0"/>
                <w:sz w:val="24"/>
              </w:rPr>
              <w:t>查验、仓库、专间、消毒保洁、面点间、粗加工间、食品贮存等岗位人员及职责</w:t>
            </w:r>
            <w:r>
              <w:rPr>
                <w:rFonts w:hint="eastAsia" w:ascii="仿宋_GB2312" w:hAnsi="宋体" w:cs="宋体"/>
                <w:kern w:val="0"/>
                <w:sz w:val="24"/>
              </w:rPr>
              <w:t>。</w:t>
            </w:r>
          </w:p>
          <w:p>
            <w:pPr>
              <w:widowControl/>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cs="宋体"/>
                <w:kern w:val="0"/>
                <w:sz w:val="24"/>
              </w:rPr>
              <w:t>职责不清的一项扣0.5分。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2.3</w:t>
            </w:r>
          </w:p>
          <w:p>
            <w:pPr>
              <w:widowControl/>
              <w:jc w:val="center"/>
              <w:rPr>
                <w:rFonts w:ascii="仿宋_GB2312" w:hAnsi="宋体" w:cs="宋体"/>
                <w:color w:val="000000"/>
                <w:kern w:val="0"/>
                <w:sz w:val="24"/>
              </w:rPr>
            </w:pPr>
            <w:r>
              <w:rPr>
                <w:rFonts w:hint="eastAsia" w:ascii="仿宋_GB2312" w:hAnsi="宋体" w:cs="宋体"/>
                <w:color w:val="000000"/>
                <w:kern w:val="0"/>
                <w:sz w:val="24"/>
              </w:rPr>
              <w:t>（</w:t>
            </w:r>
            <w:r>
              <w:rPr>
                <w:rFonts w:hint="eastAsia" w:ascii="仿宋_GB2312" w:hAnsi="宋体" w:cs="宋体"/>
                <w:color w:val="000000"/>
                <w:kern w:val="0"/>
                <w:sz w:val="24"/>
                <w:lang w:val="en-US" w:eastAsia="zh-CN"/>
              </w:rPr>
              <w:t>5</w:t>
            </w:r>
            <w:r>
              <w:rPr>
                <w:rFonts w:hint="eastAsia" w:ascii="仿宋_GB2312" w:hAnsi="宋体" w:cs="宋体"/>
                <w:color w:val="000000"/>
                <w:kern w:val="0"/>
                <w:sz w:val="24"/>
              </w:rPr>
              <w:t>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color w:val="000000"/>
                <w:kern w:val="0"/>
                <w:sz w:val="24"/>
              </w:rPr>
              <w:t>建立健全的食品安全管理制度，悬挂上墙。主要制度包括：1.食品安全综合自查制度；2.</w:t>
            </w:r>
            <w:r>
              <w:rPr>
                <w:rFonts w:hint="eastAsia" w:ascii="仿宋_GB2312" w:hAnsi="宋体" w:cs="宋体"/>
                <w:sz w:val="24"/>
              </w:rPr>
              <w:t>从业人员健康管理制度；3.从业人员培训管理制度；4.加工经营场所及设施设备清洁、消毒和维修保养制度；5.食品、食品添加剂、食品相关产品采购索证索票制度；6.进货查验和台账记录制度；7.关键环节操作规程（图文并茂）；8.餐厨废弃物处置管理制度；9.食品安全突发事件应急处置方案；10.投诉受理制度；11.</w:t>
            </w:r>
            <w:r>
              <w:rPr>
                <w:rFonts w:hint="eastAsia" w:ascii="仿宋_GB2312" w:hAnsi="宋体"/>
                <w:sz w:val="24"/>
              </w:rPr>
              <w:t>食品安全信息沟通机制（与食品经营安全监管部门、重大活动主办单位）。</w:t>
            </w:r>
          </w:p>
          <w:p>
            <w:pPr>
              <w:widowControl/>
              <w:jc w:val="left"/>
              <w:rPr>
                <w:rFonts w:ascii="仿宋_GB2312" w:hAnsi="宋体" w:cs="宋体"/>
                <w:color w:val="000000"/>
                <w:kern w:val="0"/>
                <w:sz w:val="24"/>
              </w:rPr>
            </w:pPr>
            <w:r>
              <w:rPr>
                <w:rFonts w:hint="eastAsia" w:ascii="仿宋_GB2312" w:hAnsi="宋体" w:cs="宋体"/>
                <w:b/>
                <w:bCs/>
                <w:kern w:val="0"/>
                <w:sz w:val="24"/>
              </w:rPr>
              <w:t>评分标准：</w:t>
            </w:r>
            <w:r>
              <w:rPr>
                <w:rFonts w:hint="eastAsia" w:ascii="仿宋_GB2312" w:hAnsi="宋体" w:cs="宋体"/>
                <w:kern w:val="0"/>
                <w:sz w:val="24"/>
              </w:rPr>
              <w:t>没有建立</w:t>
            </w:r>
            <w:r>
              <w:rPr>
                <w:rFonts w:hint="eastAsia" w:ascii="仿宋_GB2312" w:hAnsi="宋体" w:cs="宋体"/>
                <w:color w:val="000000"/>
                <w:kern w:val="0"/>
                <w:sz w:val="24"/>
              </w:rPr>
              <w:t>食品安全管理制度，</w:t>
            </w:r>
            <w:r>
              <w:rPr>
                <w:rFonts w:hint="eastAsia" w:ascii="仿宋_GB2312" w:hAnsi="宋体" w:cs="宋体"/>
                <w:kern w:val="0"/>
                <w:sz w:val="24"/>
              </w:rPr>
              <w:t>缺少一项扣1分；未悬挂上墙，缺少一项扣0.5分。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2.4</w:t>
            </w:r>
          </w:p>
          <w:p>
            <w:pPr>
              <w:widowControl/>
              <w:jc w:val="center"/>
              <w:rPr>
                <w:rFonts w:ascii="仿宋_GB2312" w:hAnsi="宋体" w:cs="宋体"/>
                <w:color w:val="000000"/>
                <w:kern w:val="0"/>
                <w:sz w:val="24"/>
              </w:rPr>
            </w:pPr>
            <w:r>
              <w:rPr>
                <w:rFonts w:hint="eastAsia" w:ascii="仿宋_GB2312" w:hAnsi="宋体" w:cs="宋体"/>
                <w:color w:val="000000"/>
                <w:kern w:val="0"/>
                <w:sz w:val="24"/>
              </w:rPr>
              <w:t>（5分）</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kern w:val="0"/>
                <w:sz w:val="24"/>
              </w:rPr>
              <w:t>评估项目：</w:t>
            </w:r>
            <w:r>
              <w:rPr>
                <w:rFonts w:hint="eastAsia" w:ascii="仿宋_GB2312" w:hAnsi="宋体" w:cs="宋体"/>
                <w:color w:val="000000"/>
                <w:kern w:val="0"/>
                <w:sz w:val="24"/>
              </w:rPr>
              <w:t>制订重大活动餐饮服务食品安全实施方案及重大活动保障食品安全应急预案。</w:t>
            </w:r>
          </w:p>
          <w:p>
            <w:pPr>
              <w:widowControl/>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cs="宋体"/>
                <w:color w:val="000000"/>
                <w:kern w:val="0"/>
                <w:sz w:val="24"/>
              </w:rPr>
              <w:t>现场提供相关方案模板，检查发现缺少一项</w:t>
            </w:r>
            <w:r>
              <w:rPr>
                <w:rFonts w:hint="eastAsia" w:ascii="仿宋_GB2312" w:hAnsi="宋体" w:cs="宋体"/>
                <w:kern w:val="0"/>
                <w:sz w:val="24"/>
              </w:rPr>
              <w:t>，扣2.5分。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color w:val="000000"/>
                <w:kern w:val="0"/>
                <w:sz w:val="24"/>
              </w:rPr>
            </w:pPr>
            <w:r>
              <w:rPr>
                <w:rFonts w:hint="eastAsia" w:ascii="仿宋_GB2312" w:hAnsi="宋体" w:cs="宋体"/>
                <w:b/>
                <w:bCs/>
                <w:color w:val="000000"/>
                <w:kern w:val="0"/>
                <w:sz w:val="24"/>
              </w:rPr>
              <w:t>3</w:t>
            </w:r>
          </w:p>
          <w:p>
            <w:pPr>
              <w:jc w:val="center"/>
              <w:rPr>
                <w:rFonts w:ascii="仿宋_GB2312" w:hAnsi="宋体" w:cs="宋体"/>
                <w:b/>
                <w:bCs/>
                <w:color w:val="000000"/>
                <w:kern w:val="0"/>
                <w:sz w:val="24"/>
              </w:rPr>
            </w:pPr>
            <w:r>
              <w:rPr>
                <w:rFonts w:hint="eastAsia" w:ascii="仿宋_GB2312" w:hAnsi="宋体" w:cs="宋体"/>
                <w:b/>
                <w:bCs/>
                <w:color w:val="000000"/>
                <w:kern w:val="0"/>
                <w:sz w:val="24"/>
              </w:rPr>
              <w:t>人员管理</w:t>
            </w:r>
          </w:p>
          <w:p>
            <w:pPr>
              <w:jc w:val="center"/>
              <w:rPr>
                <w:rFonts w:ascii="仿宋_GB2312" w:hAnsi="宋体" w:cs="宋体"/>
                <w:b/>
                <w:bCs/>
                <w:color w:val="000000"/>
                <w:kern w:val="0"/>
                <w:sz w:val="24"/>
              </w:rPr>
            </w:pPr>
            <w:r>
              <w:rPr>
                <w:rFonts w:hint="eastAsia" w:ascii="仿宋_GB2312" w:hAnsi="宋体" w:cs="宋体"/>
                <w:b/>
                <w:bCs/>
                <w:color w:val="000000"/>
                <w:kern w:val="0"/>
                <w:sz w:val="24"/>
              </w:rPr>
              <w:t>（18分）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3.1</w:t>
            </w:r>
          </w:p>
          <w:p>
            <w:pPr>
              <w:widowControl/>
              <w:shd w:val="clear" w:color="auto" w:fill="FFFFFF"/>
              <w:spacing w:line="312" w:lineRule="atLeast"/>
              <w:jc w:val="center"/>
              <w:rPr>
                <w:rFonts w:ascii="仿宋_GB2312" w:hAnsi="宋体" w:cs="宋体"/>
                <w:color w:val="000000"/>
                <w:kern w:val="0"/>
                <w:sz w:val="24"/>
              </w:rPr>
            </w:pPr>
            <w:r>
              <w:rPr>
                <w:rFonts w:hint="eastAsia" w:ascii="仿宋_GB2312" w:hAnsi="宋体" w:cs="宋体"/>
                <w:color w:val="000000"/>
                <w:kern w:val="0"/>
                <w:sz w:val="24"/>
              </w:rPr>
              <w:t>（2分）</w:t>
            </w:r>
          </w:p>
        </w:tc>
        <w:tc>
          <w:tcPr>
            <w:tcW w:w="8115" w:type="dxa"/>
            <w:shd w:val="clear" w:color="000000" w:fill="FFFFFF"/>
            <w:vAlign w:val="center"/>
          </w:tcPr>
          <w:p>
            <w:pPr>
              <w:widowControl/>
              <w:shd w:val="clear" w:color="auto" w:fill="FFFFFF"/>
              <w:spacing w:line="312" w:lineRule="atLeast"/>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配备满足要求，并至少有1名经过考核合格（持证）的专职高级食品安全管理员。</w:t>
            </w:r>
          </w:p>
          <w:p>
            <w:pPr>
              <w:widowControl/>
              <w:shd w:val="clear" w:color="auto" w:fill="FFFFFF"/>
              <w:spacing w:line="312" w:lineRule="atLeast"/>
              <w:jc w:val="left"/>
              <w:rPr>
                <w:rFonts w:ascii="仿宋_GB2312" w:hAnsi="宋体" w:cs="宋体"/>
                <w:color w:val="000000"/>
                <w:kern w:val="0"/>
                <w:sz w:val="24"/>
              </w:rPr>
            </w:pPr>
            <w:r>
              <w:rPr>
                <w:rFonts w:hint="eastAsia" w:ascii="仿宋_GB2312" w:hAnsi="宋体" w:cs="宋体"/>
                <w:b/>
                <w:bCs/>
                <w:kern w:val="0"/>
                <w:sz w:val="24"/>
              </w:rPr>
              <w:t>评分标准：</w:t>
            </w:r>
            <w:r>
              <w:rPr>
                <w:rFonts w:hint="eastAsia" w:ascii="仿宋_GB2312" w:hAnsi="宋体" w:cs="宋体"/>
                <w:kern w:val="0"/>
                <w:sz w:val="24"/>
              </w:rPr>
              <w:t>没有配备或食品安全管理员不在岗的，扣2分；食品安全管理员非专职或未达到高级的扣1分；对食品安全管理员现场提问，不能回答食品安全相关问题的，扣1分。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3.2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szCs w:val="22"/>
              </w:rPr>
              <w:t>从事接触直接入口食品工作（清洁操作区内的加工制作，</w:t>
            </w:r>
            <w:r>
              <w:rPr>
                <w:rFonts w:hint="eastAsia" w:ascii="仿宋_GB2312" w:hAnsi="宋体" w:cs="宋体"/>
                <w:kern w:val="0"/>
                <w:sz w:val="24"/>
                <w:szCs w:val="22"/>
                <w:lang w:eastAsia="zh-CN"/>
              </w:rPr>
              <w:t>包括</w:t>
            </w:r>
            <w:r>
              <w:rPr>
                <w:rFonts w:hint="eastAsia" w:ascii="仿宋_GB2312" w:hAnsi="宋体" w:cs="宋体"/>
                <w:kern w:val="0"/>
                <w:sz w:val="24"/>
                <w:szCs w:val="22"/>
              </w:rPr>
              <w:t>切菜、配菜、烹饪</w:t>
            </w:r>
            <w:r>
              <w:rPr>
                <w:rFonts w:hint="eastAsia" w:ascii="仿宋_GB2312" w:hAnsi="宋体" w:cs="宋体"/>
                <w:kern w:val="0"/>
                <w:sz w:val="24"/>
              </w:rPr>
              <w:t>、传菜、餐饮具清洗消毒）的从业人员（包括新参加和临时参加工作的从业人员，下同）持有效健康证。</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kern w:val="0"/>
                <w:sz w:val="24"/>
              </w:rPr>
              <w:t>抽查4名人员，无健康证或健康证过期的，每人扣0.5分。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3.3</w:t>
            </w:r>
          </w:p>
          <w:p>
            <w:pPr>
              <w:widowControl/>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落实员工晨检制度，接触直接入口食品工作的从业人员无有碍食品安全疾病。</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未</w:t>
            </w:r>
            <w:r>
              <w:rPr>
                <w:rFonts w:hint="eastAsia" w:ascii="仿宋_GB2312" w:hAnsi="宋体" w:cs="宋体"/>
                <w:kern w:val="0"/>
                <w:sz w:val="24"/>
              </w:rPr>
              <w:t>提供员工晨检记录的扣2分；记录不全扣1分。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3.4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（5分）</w:t>
            </w:r>
          </w:p>
        </w:tc>
        <w:tc>
          <w:tcPr>
            <w:tcW w:w="8115" w:type="dxa"/>
            <w:shd w:val="clear" w:color="000000" w:fill="FFFFFF"/>
            <w:vAlign w:val="center"/>
          </w:tcPr>
          <w:p>
            <w:pPr>
              <w:pStyle w:val="3"/>
              <w:rPr>
                <w:rFonts w:ascii="仿宋_GB2312" w:hAnsi="宋体" w:cs="宋体"/>
                <w:kern w:val="0"/>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员工保持良好个人卫生：1.穿戴清洁工作衣、帽，工作帽应能将头发全部遮盖住；2.</w:t>
            </w:r>
            <w:r>
              <w:rPr>
                <w:rFonts w:hint="eastAsia" w:ascii="仿宋_GB2312" w:hAnsi="宋体" w:cs="宋体"/>
                <w:sz w:val="24"/>
                <w:szCs w:val="24"/>
              </w:rPr>
              <w:t>不得披散头发、留长指甲、涂指甲油，佩带的饰物不得外露；3.</w:t>
            </w:r>
            <w:r>
              <w:rPr>
                <w:rFonts w:hint="eastAsia" w:ascii="仿宋_GB2312" w:hAnsi="宋体" w:cs="宋体"/>
                <w:kern w:val="0"/>
                <w:sz w:val="24"/>
                <w:szCs w:val="24"/>
              </w:rPr>
              <w:t>专间及</w:t>
            </w:r>
            <w:r>
              <w:rPr>
                <w:rFonts w:hint="eastAsia" w:ascii="仿宋_GB2312" w:hAnsi="宋体" w:cs="宋体"/>
                <w:sz w:val="24"/>
                <w:szCs w:val="24"/>
              </w:rPr>
              <w:t>从事饮料现榨和水果拼盘制作的人员操作前</w:t>
            </w:r>
            <w:r>
              <w:rPr>
                <w:rFonts w:hint="eastAsia" w:ascii="仿宋_GB2312" w:hAnsi="宋体" w:cs="宋体"/>
                <w:kern w:val="0"/>
                <w:sz w:val="24"/>
                <w:szCs w:val="24"/>
              </w:rPr>
              <w:t>除上述要求外，需戴口罩；4.员工操作前或使用卫生间、用餐、吸烟、饮水等可能会污染手部的活动后应重新洗净手部；5.接触直接入口食品的操作人员及</w:t>
            </w:r>
            <w:r>
              <w:rPr>
                <w:rFonts w:hint="eastAsia" w:ascii="仿宋_GB2312" w:hAnsi="宋体" w:cs="宋体"/>
                <w:sz w:val="24"/>
                <w:szCs w:val="24"/>
              </w:rPr>
              <w:t>从事饮料现榨和水果拼盘制作的人员操作前</w:t>
            </w:r>
            <w:r>
              <w:rPr>
                <w:rFonts w:hint="eastAsia" w:ascii="仿宋_GB2312" w:hAnsi="宋体" w:cs="宋体"/>
                <w:kern w:val="0"/>
                <w:sz w:val="24"/>
                <w:szCs w:val="24"/>
              </w:rPr>
              <w:t>，应洗手并消毒；6.不得在食品加工区内吸烟、饮食或其他可能污染食品的行为；7.专间内从业人员离开专间时，应脱去专间专用工作服。</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3.5</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食品处理区操作人员的</w:t>
            </w:r>
            <w:r>
              <w:rPr>
                <w:rFonts w:hint="eastAsia" w:ascii="仿宋_GB2312" w:hAnsi="宋体" w:cs="宋体"/>
                <w:sz w:val="24"/>
                <w:szCs w:val="24"/>
              </w:rPr>
              <w:t>工作服（包括衣、帽、口罩）宜为白色或浅色，应定点存放，定期更换清洗，清洁操作区与其他操作区从业人员的工作服应有明显颜色或标识区分。</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3.6</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shd w:val="clear" w:color="auto" w:fill="FFFFFF"/>
              <w:spacing w:line="312" w:lineRule="atLeast"/>
              <w:jc w:val="left"/>
              <w:rPr>
                <w:rFonts w:ascii="仿宋_GB2312" w:hAnsi="宋体" w:cs="Helvetica"/>
                <w:kern w:val="0"/>
                <w:sz w:val="24"/>
              </w:rPr>
            </w:pPr>
            <w:r>
              <w:rPr>
                <w:rFonts w:hint="eastAsia" w:ascii="仿宋_GB2312" w:hAnsi="宋体" w:cs="宋体"/>
                <w:b/>
                <w:bCs/>
                <w:kern w:val="0"/>
                <w:sz w:val="24"/>
              </w:rPr>
              <w:t>评估项目：</w:t>
            </w:r>
            <w:r>
              <w:rPr>
                <w:rFonts w:hint="eastAsia" w:ascii="仿宋_GB2312" w:hAnsi="宋体" w:cs="Helvetica"/>
                <w:color w:val="000000"/>
                <w:kern w:val="0"/>
                <w:sz w:val="24"/>
              </w:rPr>
              <w:t>食品安全管理员每年参加</w:t>
            </w:r>
            <w:r>
              <w:rPr>
                <w:rFonts w:hint="eastAsia" w:ascii="仿宋_GB2312" w:hAnsi="宋体" w:cs="Helvetica"/>
                <w:kern w:val="0"/>
                <w:sz w:val="24"/>
              </w:rPr>
              <w:t>继续教</w:t>
            </w:r>
            <w:r>
              <w:rPr>
                <w:rFonts w:hint="eastAsia" w:ascii="仿宋_GB2312" w:hAnsi="宋体" w:cs="Helvetica"/>
                <w:color w:val="000000"/>
                <w:kern w:val="0"/>
                <w:sz w:val="24"/>
                <w:szCs w:val="22"/>
              </w:rPr>
              <w:t>育培训时间不少8学时。</w:t>
            </w:r>
          </w:p>
          <w:p>
            <w:pPr>
              <w:widowControl/>
              <w:shd w:val="clear" w:color="auto" w:fill="FFFFFF"/>
              <w:spacing w:line="312" w:lineRule="atLeast"/>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kern w:val="0"/>
                <w:sz w:val="24"/>
              </w:rPr>
              <w:t>提供培训记录表或相关证明，培训时间不足时</w:t>
            </w:r>
            <w:r>
              <w:rPr>
                <w:rFonts w:hint="eastAsia" w:ascii="仿宋_GB2312" w:hAnsi="宋体" w:cs="Helvetica"/>
                <w:kern w:val="0"/>
                <w:sz w:val="24"/>
              </w:rPr>
              <w:t>8学时</w:t>
            </w:r>
            <w:r>
              <w:rPr>
                <w:rFonts w:hint="eastAsia" w:ascii="仿宋_GB2312" w:hAnsi="宋体" w:cs="宋体"/>
                <w:kern w:val="0"/>
                <w:sz w:val="24"/>
              </w:rPr>
              <w:t>的，扣2分。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3.7</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（3分）</w:t>
            </w:r>
          </w:p>
        </w:tc>
        <w:tc>
          <w:tcPr>
            <w:tcW w:w="8115" w:type="dxa"/>
            <w:shd w:val="clear" w:color="000000" w:fill="FFFFFF"/>
            <w:vAlign w:val="center"/>
          </w:tcPr>
          <w:p>
            <w:pPr>
              <w:widowControl/>
              <w:shd w:val="clear" w:color="auto" w:fill="FFFFFF"/>
              <w:spacing w:line="312" w:lineRule="atLeast"/>
              <w:jc w:val="left"/>
              <w:rPr>
                <w:rFonts w:ascii="仿宋_GB2312" w:hAnsi="宋体" w:cs="Helvetica"/>
                <w:color w:val="000000"/>
                <w:kern w:val="0"/>
                <w:sz w:val="24"/>
              </w:rPr>
            </w:pPr>
            <w:r>
              <w:rPr>
                <w:rFonts w:hint="eastAsia" w:ascii="仿宋_GB2312" w:hAnsi="宋体" w:cs="宋体"/>
                <w:b/>
                <w:bCs/>
                <w:kern w:val="0"/>
                <w:sz w:val="24"/>
              </w:rPr>
              <w:t>评估项目：</w:t>
            </w:r>
            <w:r>
              <w:rPr>
                <w:rFonts w:hint="eastAsia" w:ascii="仿宋_GB2312" w:hAnsi="宋体" w:cs="Helvetica"/>
                <w:color w:val="000000"/>
                <w:kern w:val="0"/>
                <w:sz w:val="24"/>
              </w:rPr>
              <w:t>制订从业人员食品安全培训计划，按计划对从业人员进行培训与考核，考核合格后方能上岗。</w:t>
            </w:r>
          </w:p>
          <w:p>
            <w:pPr>
              <w:widowControl/>
              <w:shd w:val="clear" w:color="auto" w:fill="FFFFFF"/>
              <w:spacing w:line="312" w:lineRule="atLeast"/>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cs="宋体"/>
                <w:kern w:val="0"/>
                <w:sz w:val="24"/>
              </w:rPr>
              <w:t>无</w:t>
            </w:r>
            <w:r>
              <w:rPr>
                <w:rFonts w:hint="eastAsia" w:ascii="仿宋_GB2312" w:hAnsi="宋体" w:cs="Helvetica"/>
                <w:color w:val="000000"/>
                <w:kern w:val="0"/>
                <w:sz w:val="24"/>
              </w:rPr>
              <w:t>培训计划</w:t>
            </w:r>
            <w:r>
              <w:rPr>
                <w:rFonts w:hint="eastAsia" w:ascii="仿宋_GB2312" w:hAnsi="宋体" w:cs="宋体"/>
                <w:kern w:val="0"/>
                <w:sz w:val="24"/>
              </w:rPr>
              <w:t>扣1分</w:t>
            </w:r>
            <w:r>
              <w:rPr>
                <w:rFonts w:hint="eastAsia" w:ascii="仿宋_GB2312" w:hAnsi="宋体" w:cs="Helvetica"/>
                <w:color w:val="000000"/>
                <w:kern w:val="0"/>
                <w:sz w:val="24"/>
              </w:rPr>
              <w:t>，无培训记录</w:t>
            </w:r>
            <w:r>
              <w:rPr>
                <w:rFonts w:hint="eastAsia" w:ascii="仿宋_GB2312" w:hAnsi="宋体" w:cs="宋体"/>
                <w:kern w:val="0"/>
                <w:sz w:val="24"/>
              </w:rPr>
              <w:t>扣1分，培训记录不全扣1分；抽查2名从业人员现场提问，不能回答食品安全相关问题的，1人扣1分。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4</w:t>
            </w:r>
          </w:p>
          <w:p>
            <w:pPr>
              <w:rPr>
                <w:rFonts w:ascii="仿宋_GB2312" w:hAnsi="宋体" w:cs="宋体"/>
                <w:b/>
                <w:bCs/>
                <w:kern w:val="0"/>
                <w:sz w:val="24"/>
              </w:rPr>
            </w:pPr>
            <w:r>
              <w:rPr>
                <w:rFonts w:hint="eastAsia" w:ascii="仿宋_GB2312" w:hAnsi="宋体" w:cs="宋体"/>
                <w:b/>
                <w:bCs/>
                <w:kern w:val="0"/>
                <w:sz w:val="24"/>
              </w:rPr>
              <w:t>场所设施</w:t>
            </w:r>
          </w:p>
          <w:p>
            <w:pPr>
              <w:jc w:val="center"/>
              <w:rPr>
                <w:rFonts w:ascii="仿宋_GB2312" w:hAnsi="宋体" w:cs="宋体"/>
                <w:b/>
                <w:bCs/>
                <w:kern w:val="0"/>
                <w:sz w:val="24"/>
              </w:rPr>
            </w:pPr>
            <w:r>
              <w:rPr>
                <w:rFonts w:hint="eastAsia" w:ascii="仿宋_GB2312" w:hAnsi="宋体" w:cs="宋体"/>
                <w:b/>
                <w:bCs/>
                <w:kern w:val="0"/>
                <w:sz w:val="24"/>
              </w:rPr>
              <w:t>设备</w:t>
            </w:r>
          </w:p>
          <w:p>
            <w:pPr>
              <w:jc w:val="center"/>
              <w:rPr>
                <w:rFonts w:ascii="仿宋_GB2312" w:hAnsi="宋体" w:cs="宋体"/>
                <w:b/>
                <w:bCs/>
                <w:color w:val="000000"/>
                <w:kern w:val="0"/>
                <w:sz w:val="24"/>
              </w:rPr>
            </w:pPr>
            <w:r>
              <w:rPr>
                <w:rFonts w:hint="eastAsia" w:ascii="仿宋_GB2312" w:hAnsi="宋体" w:cs="宋体"/>
                <w:b/>
                <w:bCs/>
                <w:kern w:val="0"/>
                <w:sz w:val="24"/>
              </w:rPr>
              <w:t>（35分）</w:t>
            </w: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4.1</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sz w:val="24"/>
              </w:rPr>
              <w:t>加工经营场所内不得圈养、宰杀活的禽畜类动物。</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违反一项扣2分。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4.2</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sz w:val="24"/>
              </w:rPr>
              <w:t>建筑结构应坚固耐用、易于维修、易于保持清洁，能避免有害动物的侵入和栖息。</w:t>
            </w:r>
          </w:p>
          <w:p>
            <w:pPr>
              <w:widowControl/>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4.3</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墙壁、天花板、门窗等设施无霉变、污渍、脱落，地面无大量积水及残渣。</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4.4</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spacing w:line="320" w:lineRule="exact"/>
              <w:rPr>
                <w:rFonts w:ascii="仿宋_GB2312" w:hAnsi="宋体"/>
                <w:sz w:val="24"/>
              </w:rPr>
            </w:pPr>
            <w:r>
              <w:rPr>
                <w:rFonts w:hint="eastAsia" w:ascii="仿宋_GB2312" w:hAnsi="宋体" w:cs="宋体"/>
                <w:b/>
                <w:bCs/>
                <w:kern w:val="0"/>
                <w:sz w:val="24"/>
              </w:rPr>
              <w:t>评估项目：</w:t>
            </w:r>
            <w:r>
              <w:rPr>
                <w:rFonts w:hint="eastAsia" w:ascii="仿宋_GB2312" w:hAnsi="宋体" w:cs="宋体"/>
                <w:kern w:val="0"/>
                <w:sz w:val="24"/>
              </w:rPr>
              <w:t>食品处理区应设置在室内。加工场所与生活区严格分开，按原料进入、原料加工、半成品加工、成品供应的顺序予以布局，紧密衔接。</w:t>
            </w:r>
          </w:p>
          <w:p>
            <w:pPr>
              <w:widowControl/>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违反一项扣2分。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4.5</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sz w:val="24"/>
              </w:rPr>
              <w:t>食品处理区应设置专用的粗加工（全部使用半成品的可不设置）、烹饪、餐用具清洗消毒的场所，并应设置原料和（或）半成品贮存、切配及备餐的场所。</w:t>
            </w:r>
          </w:p>
          <w:p>
            <w:pPr>
              <w:widowControl/>
              <w:jc w:val="left"/>
              <w:rPr>
                <w:rFonts w:ascii="仿宋_GB2312" w:hAnsi="宋体" w:cs="宋体"/>
                <w:color w:val="000000"/>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4.6</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sz w:val="24"/>
              </w:rPr>
              <w:t>鲜榨果蔬汁、果蔬拼盘、植物性冷食类食品（不含非发酵豆制品）等的加工制作，对预包装食品进行拆封、装盘、调味等简单加工制作后即供应的，调制供消费者直接食用的调味料，应设置相应的专用操作场所。</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违反一项扣2分。</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4.7</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（1分）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sz w:val="24"/>
              </w:rPr>
              <w:t>清洁工具和消毒用品的存放应设置独立存放隔间或区域，不会污染食品及其加工制作过程。</w:t>
            </w:r>
          </w:p>
          <w:p>
            <w:pPr>
              <w:widowControl/>
              <w:jc w:val="left"/>
              <w:rPr>
                <w:rFonts w:ascii="仿宋_GB2312" w:hAnsi="宋体" w:cs="宋体"/>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违反一项扣2分。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4.8</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1.</w:t>
            </w:r>
            <w:r>
              <w:rPr>
                <w:rFonts w:hint="eastAsia" w:ascii="仿宋_GB2312" w:hAnsi="宋体" w:cs="宋体"/>
                <w:sz w:val="24"/>
                <w:szCs w:val="24"/>
              </w:rPr>
              <w:t>粗加工、切配、烹饪和餐用具清洗消毒等需经常冲洗的场所及易潮湿的场所，其地面应易于清洗、防滑，并应有一定的排水坡度及排水系统。2.排水沟应有坡度、保持通畅、便于清洗，沟内不应设置其他管路，侧面和底面接合处应有一定弧度，并设有可拆卸的盖板。3.排水的流向应由高清洁操作区流向低清洁操作区，并有防止污水逆流的设计。</w:t>
            </w:r>
          </w:p>
          <w:p>
            <w:pPr>
              <w:widowControl/>
              <w:jc w:val="left"/>
              <w:rPr>
                <w:rFonts w:ascii="仿宋_GB2312" w:hAnsi="宋体" w:cs="宋体"/>
                <w:b/>
                <w:bCs/>
                <w:kern w:val="0"/>
                <w:sz w:val="24"/>
              </w:rPr>
            </w:pPr>
            <w:r>
              <w:rPr>
                <w:rFonts w:hint="eastAsia" w:ascii="仿宋_GB2312" w:hAnsi="宋体" w:cs="宋体"/>
                <w:b/>
                <w:bCs/>
                <w:kern w:val="0"/>
                <w:sz w:val="24"/>
                <w:szCs w:val="24"/>
              </w:rPr>
              <w:t>评分标准：</w:t>
            </w:r>
            <w:r>
              <w:rPr>
                <w:rFonts w:hint="eastAsia" w:ascii="仿宋_GB2312" w:hAnsi="宋体"/>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4.9</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食品处理区墙壁需铺设1.5m以上的墙裙，各类专间的墙裙应铺设到墙顶；门、窗应装配严密，与外界直接相通的可开启的窗应设有易于拆洗且不生锈的防蝇纱网；与外界直接相通的门应能自动关闭。</w:t>
            </w:r>
          </w:p>
          <w:p>
            <w:pPr>
              <w:widowControl/>
              <w:jc w:val="left"/>
              <w:rPr>
                <w:rFonts w:ascii="仿宋_GB2312" w:hAnsi="宋体" w:cs="宋体"/>
                <w:b/>
                <w:bCs/>
                <w:kern w:val="0"/>
                <w:sz w:val="24"/>
              </w:rPr>
            </w:pPr>
            <w:r>
              <w:rPr>
                <w:rFonts w:hint="eastAsia" w:ascii="仿宋_GB2312" w:hAnsi="宋体" w:cs="宋体"/>
                <w:b/>
                <w:bCs/>
                <w:kern w:val="0"/>
                <w:sz w:val="24"/>
                <w:szCs w:val="24"/>
              </w:rPr>
              <w:t>评分标准：</w:t>
            </w:r>
            <w:r>
              <w:rPr>
                <w:rFonts w:hint="eastAsia" w:ascii="仿宋_GB2312" w:hAnsi="宋体"/>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rPr>
                <w:rFonts w:ascii="仿宋_GB2312"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4.10</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就餐场所窗户应为封闭式或装有防蝇防尘设施，门应设有防蝇防尘设施。</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水蒸汽较多场所的天花板应有适当坡度。清洁操作区、准清洁操作区及其他半成品、成品暴露场所屋顶若为不平整的结构或有管道通过，应加设平整易于清洁的吊顶。</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更衣场所与加工经营场所应处于同一建筑物内，为独立隔间且处于食品处理区入口处。更衣场所应有足够大小的空间、足够数量的更衣设施和适当的照明设施，在门口处应设有洗手消毒设施。</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食品处理区内应设置足够数量的洗手消毒设施，洗手消毒设施包括：清洗、消毒用品和干手用品或设施，设有洗手消毒方法标识，洗手设施的排水应具有防止逆流、有害动物侵入及臭味产生的装置。</w:t>
            </w:r>
          </w:p>
          <w:p>
            <w:pPr>
              <w:pStyle w:val="3"/>
              <w:rPr>
                <w:rFonts w:ascii="仿宋_GB2312" w:hAnsi="宋体" w:cs="宋体"/>
                <w:sz w:val="24"/>
                <w:szCs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spacing w:line="320" w:lineRule="exact"/>
              <w:rPr>
                <w:rFonts w:ascii="仿宋_GB2312" w:hAnsi="宋体" w:cs="宋体"/>
                <w:kern w:val="0"/>
                <w:sz w:val="24"/>
                <w:lang w:val="zh-CN"/>
              </w:rPr>
            </w:pPr>
            <w:r>
              <w:rPr>
                <w:rFonts w:hint="eastAsia" w:ascii="仿宋_GB2312" w:hAnsi="宋体" w:cs="宋体"/>
                <w:b/>
                <w:bCs/>
                <w:kern w:val="0"/>
                <w:sz w:val="24"/>
              </w:rPr>
              <w:t>评估项目：</w:t>
            </w:r>
            <w:r>
              <w:rPr>
                <w:rFonts w:hint="eastAsia" w:ascii="仿宋_GB2312" w:hAnsi="宋体"/>
                <w:sz w:val="24"/>
              </w:rPr>
              <w:t>接触直接入口食品（包括冷食类、生食类食品和自制饮品）、</w:t>
            </w:r>
            <w:r>
              <w:rPr>
                <w:rFonts w:hint="eastAsia" w:ascii="仿宋_GB2312" w:hAnsi="宋体" w:cs="宋体"/>
                <w:sz w:val="24"/>
              </w:rPr>
              <w:t>制作现榨饮料、食用冰及清洗不削皮的水果等用水</w:t>
            </w:r>
            <w:r>
              <w:rPr>
                <w:rFonts w:hint="eastAsia" w:ascii="仿宋_GB2312" w:hAnsi="宋体"/>
                <w:sz w:val="24"/>
              </w:rPr>
              <w:t>，须</w:t>
            </w:r>
            <w:r>
              <w:rPr>
                <w:rFonts w:hint="eastAsia" w:ascii="仿宋_GB2312" w:hAnsi="宋体" w:cs="宋体"/>
                <w:kern w:val="0"/>
                <w:sz w:val="24"/>
                <w:lang w:val="zh-CN"/>
              </w:rPr>
              <w:t>经过水净化设施处理或使用直接饮用水。</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w:t>
            </w:r>
            <w:r>
              <w:rPr>
                <w:rFonts w:hint="eastAsia" w:ascii="仿宋_GB2312" w:hAnsi="宋体" w:cs="宋体"/>
                <w:kern w:val="0"/>
                <w:sz w:val="24"/>
                <w:lang w:val="zh-CN"/>
              </w:rPr>
              <w:t>水净化设施的运行维护及管理情况，</w:t>
            </w:r>
            <w:r>
              <w:rPr>
                <w:rFonts w:hint="eastAsia" w:ascii="仿宋_GB2312" w:hAnsi="宋体" w:cs="Times New Roman"/>
                <w:sz w:val="24"/>
                <w:szCs w:val="24"/>
              </w:rPr>
              <w:t>发现</w:t>
            </w:r>
            <w:r>
              <w:rPr>
                <w:rFonts w:hint="eastAsia" w:ascii="仿宋_GB2312" w:hAnsi="宋体" w:cs="宋体"/>
                <w:kern w:val="0"/>
                <w:sz w:val="24"/>
                <w:szCs w:val="24"/>
              </w:rPr>
              <w:t>违反扣1分。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4.15</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 xml:space="preserve">食品处理区应保持良好通风，烹饪场所应采用机械排风，产生油烟的应加设油烟过滤排气装置，排气装置过滤器应清洁干净。 </w:t>
            </w:r>
          </w:p>
          <w:p>
            <w:pPr>
              <w:pStyle w:val="3"/>
              <w:rPr>
                <w:rFonts w:ascii="仿宋_GB2312" w:hAnsi="宋体" w:cs="宋体"/>
                <w:kern w:val="0"/>
                <w:sz w:val="24"/>
                <w:szCs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4.16</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（1分）</w:t>
            </w:r>
          </w:p>
        </w:tc>
        <w:tc>
          <w:tcPr>
            <w:tcW w:w="8115" w:type="dxa"/>
            <w:shd w:val="clear" w:color="000000" w:fill="FFFFFF"/>
            <w:vAlign w:val="center"/>
          </w:tcPr>
          <w:p>
            <w:pPr>
              <w:pStyle w:val="3"/>
              <w:rPr>
                <w:rFonts w:ascii="仿宋_GB2312" w:hAnsi="宋体"/>
                <w:sz w:val="24"/>
                <w:szCs w:val="24"/>
              </w:rPr>
            </w:pPr>
            <w:r>
              <w:rPr>
                <w:rFonts w:hint="eastAsia" w:ascii="仿宋_GB2312" w:hAnsi="宋体" w:cs="宋体"/>
                <w:b/>
                <w:bCs/>
                <w:kern w:val="0"/>
                <w:sz w:val="24"/>
                <w:szCs w:val="24"/>
              </w:rPr>
              <w:t>评估项目：</w:t>
            </w:r>
            <w:r>
              <w:rPr>
                <w:rFonts w:hint="eastAsia" w:ascii="仿宋_GB2312" w:hAnsi="宋体"/>
                <w:sz w:val="24"/>
                <w:szCs w:val="24"/>
              </w:rPr>
              <w:t>加工经营场所光源不改变所观察食品的天然颜色，安装在暴露食品正上方的照明设施使用防护罩或防暴照明设施。</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4.17</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排水沟出口篦子缝隙间距或网眼孔径小于10mm，通风口、换气窗外安装的防虫筛网孔径不小于16目，以防鼠类等害虫侵入。</w:t>
            </w:r>
          </w:p>
          <w:p>
            <w:pPr>
              <w:spacing w:line="320" w:lineRule="exact"/>
              <w:rPr>
                <w:rFonts w:ascii="仿宋_GB2312" w:hAnsi="宋体" w:cs="宋体"/>
                <w:sz w:val="24"/>
              </w:rPr>
            </w:pPr>
            <w:r>
              <w:rPr>
                <w:rFonts w:hint="eastAsia" w:ascii="仿宋_GB2312" w:hAnsi="宋体" w:cs="宋体"/>
                <w:b/>
                <w:bCs/>
                <w:kern w:val="0"/>
                <w:sz w:val="24"/>
                <w:szCs w:val="24"/>
              </w:rPr>
              <w:t>评分标准：</w:t>
            </w:r>
            <w:r>
              <w:rPr>
                <w:rFonts w:hint="eastAsia" w:ascii="仿宋_GB2312" w:hAnsi="宋体"/>
                <w:sz w:val="24"/>
                <w:szCs w:val="24"/>
              </w:rPr>
              <w:t>现场检查发现</w:t>
            </w:r>
            <w:r>
              <w:rPr>
                <w:rFonts w:hint="eastAsia" w:ascii="仿宋_GB2312" w:hAnsi="宋体" w:cs="宋体"/>
                <w:kern w:val="0"/>
                <w:sz w:val="24"/>
                <w:szCs w:val="24"/>
              </w:rPr>
              <w:t>违反一项扣1分。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4.18</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定期进行除虫灭害工作，防止害虫孳生，保留消杀记录。除虫灭害工作不得在食品加工操作时进行，实施时对各种食品应有保护措施。并与有资质的消杀公司签订消杀合约。</w:t>
            </w:r>
          </w:p>
          <w:p>
            <w:pPr>
              <w:pStyle w:val="3"/>
              <w:rPr>
                <w:rFonts w:ascii="仿宋_GB2312" w:hAnsi="宋体" w:cs="宋体"/>
                <w:sz w:val="24"/>
              </w:rPr>
            </w:pPr>
            <w:r>
              <w:rPr>
                <w:rFonts w:hint="eastAsia" w:ascii="仿宋_GB2312" w:hAnsi="宋体" w:cs="宋体"/>
                <w:b/>
                <w:bCs/>
                <w:kern w:val="0"/>
                <w:sz w:val="24"/>
                <w:szCs w:val="24"/>
              </w:rPr>
              <w:t>评分标准：</w:t>
            </w:r>
            <w:r>
              <w:rPr>
                <w:rFonts w:hint="eastAsia" w:ascii="仿宋_GB2312" w:hAnsi="宋体" w:cs="宋体"/>
                <w:bCs/>
                <w:kern w:val="0"/>
                <w:sz w:val="24"/>
                <w:szCs w:val="24"/>
              </w:rPr>
              <w:t>发现有老鼠蟑螂等害虫或粪便的扣2分</w:t>
            </w:r>
            <w:r>
              <w:rPr>
                <w:rFonts w:hint="eastAsia" w:ascii="仿宋_GB2312" w:hAnsi="宋体" w:cs="宋体"/>
                <w:b/>
                <w:bCs/>
                <w:kern w:val="0"/>
                <w:sz w:val="24"/>
                <w:szCs w:val="24"/>
              </w:rPr>
              <w:t>，</w:t>
            </w:r>
            <w:r>
              <w:rPr>
                <w:rFonts w:hint="eastAsia" w:ascii="仿宋_GB2312" w:hAnsi="宋体" w:cs="宋体"/>
                <w:bCs/>
                <w:kern w:val="0"/>
                <w:sz w:val="24"/>
                <w:szCs w:val="24"/>
              </w:rPr>
              <w:t>没有</w:t>
            </w:r>
            <w:r>
              <w:rPr>
                <w:rFonts w:hint="eastAsia" w:ascii="仿宋_GB2312" w:hAnsi="宋体" w:cs="宋体"/>
                <w:sz w:val="24"/>
                <w:szCs w:val="24"/>
              </w:rPr>
              <w:t>提供除虫灭害消杀合同、记录，一项扣1分。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4.19</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杀虫剂、杀鼠剂及其他有毒有害物品存放应有固定的场所（或橱柜）并上锁，有明显的警示标识，并有专人保管。有毒有害物品的采购及使用应有详细记录，包括使用人、使用目的、使用区域、使用量、使用及购买时间、配制浓度等。</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4.20</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食品处理区内可能产生废弃物或垃圾的场所均应设有废弃物容器。废弃物容器应与加工用容器有明显的区分标识。废弃物容器应配有盖子，专间内的废弃物容器盖子应为非手动开启式。废弃物应及时清除，清除后的容器应及时清洗，必要时进行消毒。餐厨废弃物须由有资质的单位处理，签订合同，并建立处置台账，详细记录餐厨废弃物的种类、数量、去向等情况。</w:t>
            </w:r>
          </w:p>
          <w:p>
            <w:pPr>
              <w:pStyle w:val="3"/>
              <w:rPr>
                <w:rFonts w:ascii="仿宋_GB2312" w:hAnsi="宋体"/>
                <w:sz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5</w:t>
            </w:r>
          </w:p>
          <w:p>
            <w:pPr>
              <w:jc w:val="center"/>
              <w:rPr>
                <w:rFonts w:ascii="仿宋_GB2312" w:hAnsi="宋体" w:cs="宋体"/>
                <w:b/>
                <w:bCs/>
                <w:kern w:val="0"/>
                <w:sz w:val="24"/>
              </w:rPr>
            </w:pPr>
            <w:r>
              <w:rPr>
                <w:rFonts w:hint="eastAsia" w:ascii="仿宋_GB2312" w:hAnsi="宋体" w:cs="宋体"/>
                <w:b/>
                <w:bCs/>
                <w:kern w:val="0"/>
                <w:sz w:val="24"/>
              </w:rPr>
              <w:t>索证索票（15分）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5.1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（10分）</w:t>
            </w:r>
          </w:p>
        </w:tc>
        <w:tc>
          <w:tcPr>
            <w:tcW w:w="8115" w:type="dxa"/>
            <w:shd w:val="clear" w:color="000000" w:fill="FFFFFF"/>
            <w:vAlign w:val="center"/>
          </w:tcPr>
          <w:p>
            <w:pPr>
              <w:pStyle w:val="3"/>
              <w:rPr>
                <w:rFonts w:ascii="仿宋_GB2312" w:hAnsi="宋体"/>
                <w:color w:val="000000"/>
                <w:sz w:val="24"/>
                <w:szCs w:val="24"/>
              </w:rPr>
            </w:pPr>
            <w:r>
              <w:rPr>
                <w:rFonts w:hint="eastAsia" w:ascii="仿宋_GB2312" w:hAnsi="宋体" w:cs="宋体"/>
                <w:b/>
                <w:bCs/>
                <w:kern w:val="0"/>
                <w:sz w:val="24"/>
                <w:szCs w:val="24"/>
              </w:rPr>
              <w:t>评估项目：</w:t>
            </w:r>
            <w:r>
              <w:rPr>
                <w:rFonts w:hint="eastAsia" w:ascii="仿宋_GB2312" w:hAnsi="宋体"/>
                <w:color w:val="000000"/>
                <w:sz w:val="24"/>
                <w:szCs w:val="24"/>
              </w:rPr>
              <w:t>按规定落实</w:t>
            </w:r>
            <w:r>
              <w:rPr>
                <w:rFonts w:hint="eastAsia" w:ascii="仿宋_GB2312" w:hAnsi="宋体" w:cs="宋体"/>
                <w:color w:val="000000"/>
                <w:kern w:val="0"/>
                <w:sz w:val="24"/>
                <w:szCs w:val="24"/>
              </w:rPr>
              <w:t>食品及原料，食品添加剂、食品相关产品（</w:t>
            </w:r>
            <w:r>
              <w:rPr>
                <w:rFonts w:hint="eastAsia" w:ascii="仿宋_GB2312" w:hAnsi="宋体"/>
                <w:color w:val="000000"/>
                <w:sz w:val="24"/>
                <w:szCs w:val="24"/>
              </w:rPr>
              <w:t>一次性餐具、集中式消毒餐饮具等食品用具）</w:t>
            </w:r>
            <w:r>
              <w:rPr>
                <w:rFonts w:hint="eastAsia" w:ascii="仿宋_GB2312" w:hAnsi="宋体" w:cs="宋体"/>
                <w:color w:val="000000"/>
                <w:kern w:val="0"/>
                <w:sz w:val="24"/>
                <w:szCs w:val="24"/>
              </w:rPr>
              <w:t>索证、索票</w:t>
            </w:r>
            <w:r>
              <w:rPr>
                <w:rFonts w:hint="eastAsia" w:ascii="仿宋_GB2312" w:hAnsi="宋体"/>
                <w:color w:val="000000"/>
                <w:sz w:val="24"/>
                <w:szCs w:val="24"/>
              </w:rPr>
              <w:t>。包括加盖供应商公章的供应商营业执照、许可证、食品检验合格证明（半年内），及生产厂家营业执照和许可证。</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宋体"/>
                <w:bCs/>
                <w:kern w:val="0"/>
                <w:sz w:val="24"/>
                <w:szCs w:val="24"/>
              </w:rPr>
              <w:t>现场抽取5种以上食品及原料，提供加盖供应商公章有效的营业执照、许可证和产品检验合格证明。未有效提供的，每项扣1分</w:t>
            </w:r>
            <w:r>
              <w:rPr>
                <w:rFonts w:hint="eastAsia" w:ascii="仿宋_GB2312" w:hAnsi="宋体" w:cs="Times New Roman"/>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5.2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bCs/>
                <w:kern w:val="0"/>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对采购的食品进行验收并记录，验收内容包括：食品品质、感观、温度等对食品安全有影响的项目。</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宋体"/>
                <w:color w:val="000000"/>
                <w:kern w:val="0"/>
                <w:sz w:val="24"/>
                <w:szCs w:val="24"/>
              </w:rPr>
              <w:t>没有进行验收或不能提供验收记录的扣1分；验收记录不规范的扣1分。</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5.3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（3分）</w:t>
            </w:r>
          </w:p>
          <w:p>
            <w:pPr>
              <w:widowControl/>
              <w:shd w:val="clear" w:color="auto" w:fill="FFFFFF"/>
              <w:spacing w:line="312" w:lineRule="atLeast"/>
              <w:jc w:val="center"/>
              <w:rPr>
                <w:rFonts w:ascii="仿宋_GB2312" w:hAnsi="宋体" w:cs="宋体"/>
                <w:kern w:val="0"/>
                <w:sz w:val="24"/>
              </w:rPr>
            </w:pPr>
          </w:p>
        </w:tc>
        <w:tc>
          <w:tcPr>
            <w:tcW w:w="8115" w:type="dxa"/>
            <w:shd w:val="clear" w:color="000000" w:fill="FFFFFF"/>
            <w:vAlign w:val="center"/>
          </w:tcPr>
          <w:p>
            <w:pPr>
              <w:pStyle w:val="3"/>
              <w:rPr>
                <w:rFonts w:ascii="仿宋_GB2312" w:hAnsi="宋体" w:cs="宋体"/>
                <w:bCs/>
                <w:kern w:val="0"/>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按规定对采购的食品填写进货台账或能提供与台账相同作用的相关记录。</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宋体"/>
                <w:bCs/>
                <w:kern w:val="0"/>
                <w:sz w:val="24"/>
                <w:szCs w:val="24"/>
              </w:rPr>
              <w:t>未</w:t>
            </w:r>
            <w:r>
              <w:rPr>
                <w:rFonts w:hint="eastAsia" w:ascii="仿宋_GB2312" w:hAnsi="宋体" w:cs="宋体"/>
                <w:color w:val="000000"/>
                <w:kern w:val="0"/>
                <w:sz w:val="24"/>
                <w:szCs w:val="24"/>
              </w:rPr>
              <w:t>提供台账，扣3分，台账不完整扣1分</w:t>
            </w:r>
            <w:r>
              <w:rPr>
                <w:rFonts w:hint="eastAsia" w:ascii="仿宋_GB2312" w:hAnsi="宋体" w:cs="Times New Roman"/>
                <w:sz w:val="24"/>
                <w:szCs w:val="24"/>
              </w:rPr>
              <w:t>。</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6</w:t>
            </w:r>
          </w:p>
          <w:p>
            <w:pPr>
              <w:jc w:val="center"/>
              <w:rPr>
                <w:rFonts w:ascii="仿宋_GB2312" w:hAnsi="宋体" w:cs="宋体"/>
                <w:b/>
                <w:bCs/>
                <w:kern w:val="0"/>
                <w:sz w:val="24"/>
              </w:rPr>
            </w:pPr>
            <w:r>
              <w:rPr>
                <w:rFonts w:hint="eastAsia" w:ascii="仿宋_GB2312" w:hAnsi="宋体" w:cs="宋体"/>
                <w:b/>
                <w:bCs/>
                <w:kern w:val="0"/>
                <w:sz w:val="24"/>
              </w:rPr>
              <w:t>粗加工</w:t>
            </w:r>
          </w:p>
          <w:p>
            <w:pPr>
              <w:jc w:val="center"/>
              <w:rPr>
                <w:rFonts w:ascii="仿宋_GB2312" w:hAnsi="宋体" w:cs="宋体"/>
                <w:b/>
                <w:bCs/>
                <w:kern w:val="0"/>
                <w:sz w:val="24"/>
              </w:rPr>
            </w:pPr>
            <w:r>
              <w:rPr>
                <w:rFonts w:hint="eastAsia" w:ascii="仿宋_GB2312" w:hAnsi="宋体" w:cs="宋体"/>
                <w:b/>
                <w:bCs/>
                <w:kern w:val="0"/>
                <w:sz w:val="24"/>
              </w:rPr>
              <w:t>（6分）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6.1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加工前应认真检查待加工食品，发现有腐败变质迹象或者其他感官性状异常的，不得加工和使用。</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r>
              <w:rPr>
                <w:rFonts w:hint="eastAsia" w:ascii="仿宋_GB2312" w:hAnsi="宋体" w:cs="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6.2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1.</w:t>
            </w:r>
            <w:r>
              <w:rPr>
                <w:rFonts w:hint="eastAsia" w:ascii="仿宋_GB2312" w:hAnsi="宋体" w:cs="宋体"/>
                <w:sz w:val="24"/>
                <w:szCs w:val="24"/>
              </w:rPr>
              <w:t>食品原料在使用前应洗净，动物性食品原料、植物性食品原料、水产品原料应分池清洗；2.禽蛋在使用前应对外壳进行清洗，必要时进行消毒。</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r>
              <w:rPr>
                <w:rFonts w:hint="eastAsia" w:ascii="仿宋_GB2312" w:hAnsi="宋体" w:cs="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6.3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食品加工工具、容器、冰箱等应按照原料、半成品分开使用，并有明显标识。</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6.4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切配好的半成品应避免受到污染，与原料分开存放，并应根据性质分类存放。在规定时间内使用或储存。</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7</w:t>
            </w:r>
          </w:p>
          <w:p>
            <w:pPr>
              <w:jc w:val="center"/>
              <w:rPr>
                <w:rFonts w:ascii="仿宋_GB2312" w:hAnsi="宋体" w:cs="宋体"/>
                <w:b/>
                <w:bCs/>
                <w:kern w:val="0"/>
                <w:sz w:val="24"/>
              </w:rPr>
            </w:pPr>
            <w:r>
              <w:rPr>
                <w:rFonts w:hint="eastAsia" w:ascii="仿宋_GB2312" w:hAnsi="宋体" w:cs="宋体"/>
                <w:b/>
                <w:bCs/>
                <w:kern w:val="0"/>
                <w:sz w:val="24"/>
              </w:rPr>
              <w:t>烹饪加工（</w:t>
            </w:r>
            <w:r>
              <w:rPr>
                <w:rFonts w:hint="eastAsia" w:ascii="仿宋_GB2312" w:hAnsi="宋体" w:cs="宋体"/>
                <w:b/>
                <w:bCs/>
                <w:kern w:val="0"/>
                <w:sz w:val="24"/>
                <w:lang w:val="en-US" w:eastAsia="zh-CN"/>
              </w:rPr>
              <w:t>10</w:t>
            </w:r>
            <w:r>
              <w:rPr>
                <w:rFonts w:hint="eastAsia" w:ascii="仿宋_GB2312" w:hAnsi="宋体" w:cs="宋体"/>
                <w:b/>
                <w:bCs/>
                <w:kern w:val="0"/>
                <w:sz w:val="24"/>
              </w:rPr>
              <w:t>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b/>
                <w:bCs/>
                <w:kern w:val="0"/>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烹调加工操作过程符合要求，食品烧熟煮透。</w:t>
            </w:r>
            <w:r>
              <w:rPr>
                <w:rFonts w:hint="eastAsia" w:ascii="仿宋_GB2312" w:hAnsi="宋体" w:cs="宋体"/>
                <w:sz w:val="24"/>
                <w:szCs w:val="24"/>
              </w:rPr>
              <w:t>保存温度低于60℃或高于8℃，存放时间超过2小时的熟食品，需再次利用的应充分加热。加热前应确认食品未变质。</w:t>
            </w:r>
            <w:r>
              <w:rPr>
                <w:rFonts w:hint="eastAsia" w:ascii="仿宋_GB2312" w:hAnsi="宋体" w:cs="宋体"/>
                <w:kern w:val="0"/>
                <w:sz w:val="24"/>
                <w:szCs w:val="24"/>
              </w:rPr>
              <w:t>在60℃以上条件下可存放4小时。冷藏、</w:t>
            </w:r>
            <w:r>
              <w:rPr>
                <w:rFonts w:hint="eastAsia" w:ascii="仿宋_GB2312" w:hAnsi="宋体" w:cs="宋体"/>
                <w:sz w:val="24"/>
                <w:szCs w:val="24"/>
              </w:rPr>
              <w:t>冷冻熟食品（应彻底解冻后）经充分加热方可食用。</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w:t>
            </w:r>
            <w:r>
              <w:rPr>
                <w:rFonts w:hint="eastAsia" w:ascii="仿宋_GB2312" w:hAnsi="宋体" w:cs="宋体"/>
                <w:sz w:val="24"/>
                <w:lang w:val="en-US" w:eastAsia="zh-CN"/>
              </w:rPr>
              <w:t>2</w:t>
            </w:r>
            <w:r>
              <w:rPr>
                <w:rFonts w:hint="eastAsia" w:ascii="仿宋_GB2312" w:hAnsi="宋体" w:cs="宋体"/>
                <w:sz w:val="24"/>
              </w:rPr>
              <w:t>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设有半成品、配料、成品操作台或盛放架，做到标志明显、分开使用。</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w:t>
            </w:r>
            <w:r>
              <w:rPr>
                <w:rFonts w:hint="eastAsia" w:ascii="仿宋_GB2312" w:hAnsi="宋体" w:cs="宋体"/>
                <w:sz w:val="24"/>
                <w:lang w:val="en-US" w:eastAsia="zh-CN"/>
              </w:rPr>
              <w:t>2</w:t>
            </w:r>
            <w:r>
              <w:rPr>
                <w:rFonts w:hint="eastAsia" w:ascii="仿宋_GB2312" w:hAnsi="宋体" w:cs="宋体"/>
                <w:sz w:val="24"/>
              </w:rPr>
              <w:t>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用于盛装食品的容器及食品不得直接放置于地面，以防止食品受到污染。</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w:t>
            </w:r>
            <w:r>
              <w:rPr>
                <w:rFonts w:hint="eastAsia" w:ascii="仿宋_GB2312" w:hAnsi="宋体" w:cs="宋体"/>
                <w:sz w:val="24"/>
                <w:lang w:val="en-US" w:eastAsia="zh-CN"/>
              </w:rPr>
              <w:t>2</w:t>
            </w:r>
            <w:r>
              <w:rPr>
                <w:rFonts w:hint="eastAsia" w:ascii="仿宋_GB2312" w:hAnsi="宋体" w:cs="宋体"/>
                <w:sz w:val="24"/>
              </w:rPr>
              <w:t>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用于烹饪的调味料盛放器皿应做好标签标识，每天清洁，使用后随即加盖或苫盖，不得与地面或污垢接触。</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7.5</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w:t>
            </w:r>
            <w:r>
              <w:rPr>
                <w:rFonts w:hint="eastAsia" w:ascii="仿宋_GB2312" w:hAnsi="宋体" w:cs="宋体"/>
                <w:sz w:val="24"/>
                <w:lang w:val="en-US" w:eastAsia="zh-CN"/>
              </w:rPr>
              <w:t>2</w:t>
            </w:r>
            <w:r>
              <w:rPr>
                <w:rFonts w:hint="eastAsia" w:ascii="仿宋_GB2312" w:hAnsi="宋体" w:cs="宋体"/>
                <w:sz w:val="24"/>
              </w:rPr>
              <w:t>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菜品用的围边、盘花应保证清洁新鲜、无腐败变质，不得回收后再使用。</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8</w:t>
            </w:r>
          </w:p>
          <w:p>
            <w:pPr>
              <w:jc w:val="center"/>
              <w:rPr>
                <w:rFonts w:ascii="仿宋_GB2312" w:hAnsi="宋体" w:cs="宋体"/>
                <w:b/>
                <w:bCs/>
                <w:color w:val="000000"/>
                <w:kern w:val="0"/>
                <w:sz w:val="24"/>
              </w:rPr>
            </w:pPr>
            <w:r>
              <w:rPr>
                <w:rFonts w:hint="eastAsia" w:ascii="仿宋_GB2312" w:hAnsi="宋体" w:cs="宋体"/>
                <w:b/>
                <w:bCs/>
                <w:kern w:val="0"/>
                <w:sz w:val="24"/>
              </w:rPr>
              <w:t>专间管理（12分）</w:t>
            </w: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8.1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kern w:val="0"/>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制作冷食类（凉菜类）、生食类食品、裱花类糕点和备餐等应当分开设立专间。进入专间的入口处设有预进设施：含有更衣、洗手、消毒设施，进入专间的门应能够自动关闭。</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 xml:space="preserve">专间不得设置两个以上（含两个）的门，窗户应为封闭式（传递食品用的除外），应分设有可开闭的食品传送窗口，大小以可通过传送食品的容器为准。 </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专间内应设空气消毒设施、安装水净化设施的水池、工具消毒设施、专用冷藏设施。每餐（或每次）使用专间前，应对专间空气进行消毒，消毒方法应遵循消毒设施使用说明书要求。使用紫外线灯消毒的，应在无人加工制作时开启紫外线灯30分钟以上并做好记录。专间内温度不高于25℃，应设有独立空调设施。专间内不能有明沟，地漏带水封。</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未经清洗处理的食品原料不得带入专间。专间应专用，不能存放其它无关的杂物。</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8.5</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专间内应使用专用的设备、工具、容器，用前应消毒，用后应洗净并保持清洁。</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8.6</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生食海产品还应相应设置前处理专用场所及相应设施，最好与专间相邻，配置专用水池和加工用具，处理后的半成品能直接通过传递窗进入专间。</w:t>
            </w:r>
            <w:r>
              <w:rPr>
                <w:rFonts w:hint="eastAsia" w:ascii="仿宋_GB2312" w:hAnsi="宋体" w:cs="宋体"/>
                <w:sz w:val="24"/>
                <w:szCs w:val="24"/>
              </w:rPr>
              <w:t>加工操作时应避免可食部分受到污染。加工后的生食海产品应当放置在密闭容器内冷藏保存，或者放置在食用冰中保存并用保鲜膜分隔。放置在食用冰中保存时，加工后至食用的间隔时间不得超过1小时。</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8.7</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color w:val="FF0000"/>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用于裱花</w:t>
            </w:r>
            <w:r>
              <w:rPr>
                <w:rFonts w:hint="eastAsia" w:ascii="仿宋_GB2312" w:hAnsi="宋体" w:cs="宋体"/>
                <w:sz w:val="24"/>
                <w:szCs w:val="24"/>
              </w:rPr>
              <w:t>蛋糕胚应在专用冷藏设备中冷藏。裱浆和经清洗消毒的新鲜水果应当天制作、当天使用。打发好的奶油应尽快使用完毕。</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9</w:t>
            </w:r>
          </w:p>
          <w:p>
            <w:pPr>
              <w:jc w:val="center"/>
              <w:rPr>
                <w:rFonts w:ascii="仿宋_GB2312" w:hAnsi="宋体" w:cs="宋体"/>
                <w:b/>
                <w:sz w:val="24"/>
              </w:rPr>
            </w:pPr>
            <w:r>
              <w:rPr>
                <w:rFonts w:hint="eastAsia" w:ascii="仿宋_GB2312" w:hAnsi="宋体" w:cs="宋体"/>
                <w:b/>
                <w:sz w:val="24"/>
              </w:rPr>
              <w:t>饮料现榨及水果拼盘</w:t>
            </w:r>
          </w:p>
          <w:p>
            <w:pPr>
              <w:jc w:val="center"/>
              <w:rPr>
                <w:rFonts w:ascii="仿宋_GB2312" w:hAnsi="宋体" w:cs="宋体"/>
                <w:b/>
                <w:bCs/>
                <w:color w:val="000000"/>
                <w:kern w:val="0"/>
                <w:sz w:val="24"/>
              </w:rPr>
            </w:pPr>
            <w:r>
              <w:rPr>
                <w:rFonts w:hint="eastAsia" w:ascii="仿宋_GB2312" w:hAnsi="宋体" w:cs="宋体"/>
                <w:b/>
                <w:sz w:val="24"/>
              </w:rPr>
              <w:t>（6分）</w:t>
            </w: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rPr>
            </w:pPr>
            <w:r>
              <w:rPr>
                <w:rFonts w:hint="eastAsia" w:ascii="仿宋_GB2312" w:hAnsi="宋体" w:cs="宋体"/>
                <w:color w:val="000000"/>
                <w:kern w:val="0"/>
                <w:sz w:val="24"/>
              </w:rPr>
              <w:t>9.1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kern w:val="0"/>
                <w:sz w:val="24"/>
              </w:rPr>
              <w:t>评估项目：</w:t>
            </w:r>
            <w:r>
              <w:rPr>
                <w:rFonts w:hint="eastAsia" w:ascii="仿宋_GB2312" w:hAnsi="宋体" w:cs="宋体"/>
                <w:color w:val="000000"/>
                <w:kern w:val="0"/>
                <w:sz w:val="24"/>
              </w:rPr>
              <w:t>应依次分设水果清洗区、切配榨汁区、成品存放区，设置专用冷藏设施。不能有明沟，地漏带水封。</w:t>
            </w:r>
            <w:r>
              <w:rPr>
                <w:rFonts w:hint="eastAsia" w:ascii="仿宋_GB2312" w:hAnsi="宋体" w:cs="宋体"/>
                <w:color w:val="000000"/>
                <w:sz w:val="24"/>
              </w:rPr>
              <w:t>冷藏设施</w:t>
            </w:r>
            <w:r>
              <w:rPr>
                <w:rFonts w:hint="eastAsia" w:ascii="仿宋_GB2312" w:hAnsi="宋体" w:cs="宋体"/>
                <w:sz w:val="24"/>
              </w:rPr>
              <w:t>应专用。发现待加工食品有腐败变质迹象或者其他感官性状异常的，不得加工和使用。</w:t>
            </w:r>
          </w:p>
          <w:p>
            <w:pPr>
              <w:jc w:val="left"/>
              <w:rPr>
                <w:rFonts w:ascii="仿宋_GB2312" w:hAnsi="宋体" w:cs="宋体"/>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sz w:val="24"/>
              </w:rPr>
            </w:pPr>
            <w:r>
              <w:rPr>
                <w:rFonts w:hint="eastAsia" w:ascii="仿宋_GB2312" w:hAnsi="宋体" w:cs="宋体"/>
                <w:sz w:val="24"/>
              </w:rPr>
              <w:t>9.2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用于饮料现榨及水果拼盘制作的设备、工具、容器应专用。每餐次使用前应消毒，用后应洗净并在专用保洁设施内存放。用于饮料现榨和水果拼盘制作的蔬菜、水果应新鲜，未经清洗处理干净的不得使用。</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sz w:val="24"/>
              </w:rPr>
            </w:pPr>
            <w:r>
              <w:rPr>
                <w:rFonts w:hint="eastAsia" w:ascii="仿宋_GB2312" w:hAnsi="宋体" w:cs="宋体"/>
                <w:sz w:val="24"/>
              </w:rPr>
              <w:t>9.3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制作现榨饮料不得掺杂、掺假及使用非食用物质。制作的现榨饮料和水果拼盘当餐不能用完的，应妥善处理，不得重复利用。</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10</w:t>
            </w:r>
          </w:p>
          <w:p>
            <w:pPr>
              <w:jc w:val="center"/>
              <w:rPr>
                <w:rFonts w:ascii="仿宋_GB2312" w:hAnsi="宋体" w:cs="宋体"/>
                <w:b/>
                <w:bCs/>
                <w:color w:val="000000"/>
                <w:kern w:val="0"/>
                <w:sz w:val="24"/>
              </w:rPr>
            </w:pPr>
            <w:r>
              <w:rPr>
                <w:rFonts w:hint="eastAsia" w:ascii="仿宋_GB2312" w:hAnsi="宋体" w:cs="宋体"/>
                <w:b/>
                <w:bCs/>
                <w:kern w:val="0"/>
                <w:sz w:val="24"/>
              </w:rPr>
              <w:t>烘烤糕点（6分）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10.1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依次应分设糕点制作区（全部使用半成品进行烤制的不需设）、烘烤区、冷却区（设置密闭式冷却纱柜）或冷却间。如需分装，应另设分装间，分装间的设置按专间要求进行。糕点制作区内应分别设置和面区、工具清洗区,对应的区域设置专用的工具清洗水池、蛋清洗水池和相应操作台,设置专用冷藏设备和工具保洁柜。</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10.2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szCs w:val="22"/>
              </w:rPr>
              <w:t>烘烤烤箱上方安装排烟气设施，烘烤间内要求贴浅色瓷片1.5m以上。成品</w:t>
            </w:r>
            <w:r>
              <w:rPr>
                <w:rFonts w:hint="eastAsia" w:ascii="仿宋_GB2312" w:hAnsi="宋体" w:cs="宋体"/>
                <w:kern w:val="0"/>
                <w:sz w:val="24"/>
              </w:rPr>
              <w:t>销售间（若有）应紧挨糕点烘烤加工间旁设置。不能有明沟，地漏带水封。</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10.3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sz w:val="24"/>
              </w:rPr>
              <w:t>评估项目：</w:t>
            </w:r>
            <w:r>
              <w:rPr>
                <w:rFonts w:hint="eastAsia" w:ascii="仿宋_GB2312" w:hAnsi="宋体" w:cs="宋体"/>
                <w:sz w:val="24"/>
              </w:rPr>
              <w:t>未用完的点心馅料、半成品，应冷藏或冷冻，并在规定存放期限内使用。</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现场检查发现不符合的扣1分。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10.4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水分含量较高的含奶、蛋的点心应在高于60℃或低于8℃的条件下贮存。</w:t>
            </w:r>
          </w:p>
          <w:p>
            <w:pPr>
              <w:pStyle w:val="3"/>
              <w:rPr>
                <w:rFonts w:ascii="仿宋_GB2312" w:hAnsi="宋体" w:cs="宋体"/>
                <w:b/>
                <w:bCs/>
                <w:sz w:val="24"/>
                <w:szCs w:val="24"/>
              </w:rPr>
            </w:pPr>
            <w:r>
              <w:rPr>
                <w:rFonts w:hint="eastAsia" w:ascii="仿宋_GB2312" w:hAnsi="宋体" w:cs="宋体"/>
                <w:b/>
                <w:bCs/>
                <w:kern w:val="0"/>
                <w:sz w:val="24"/>
                <w:szCs w:val="24"/>
              </w:rPr>
              <w:t>评分标准：</w:t>
            </w:r>
            <w:r>
              <w:rPr>
                <w:rFonts w:hint="eastAsia" w:ascii="仿宋_GB2312" w:hAnsi="宋体"/>
                <w:sz w:val="24"/>
              </w:rPr>
              <w:t>现场检查发现不符合的扣1分</w:t>
            </w:r>
            <w:r>
              <w:rPr>
                <w:rFonts w:hint="eastAsia" w:ascii="仿宋_GB2312" w:hAnsi="宋体" w:cs="Times New Roman"/>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11</w:t>
            </w:r>
          </w:p>
          <w:p>
            <w:pPr>
              <w:jc w:val="center"/>
              <w:rPr>
                <w:rFonts w:ascii="仿宋_GB2312" w:hAnsi="宋体" w:cs="宋体"/>
                <w:b/>
                <w:bCs/>
                <w:kern w:val="0"/>
                <w:sz w:val="24"/>
              </w:rPr>
            </w:pPr>
            <w:r>
              <w:rPr>
                <w:rFonts w:hint="eastAsia" w:ascii="仿宋_GB2312" w:hAnsi="宋体" w:cs="宋体"/>
                <w:b/>
                <w:bCs/>
                <w:kern w:val="0"/>
                <w:sz w:val="24"/>
              </w:rPr>
              <w:t>烧卤间</w:t>
            </w:r>
          </w:p>
          <w:p>
            <w:pPr>
              <w:jc w:val="center"/>
              <w:rPr>
                <w:rFonts w:ascii="仿宋_GB2312" w:hAnsi="宋体" w:cs="宋体"/>
                <w:b/>
                <w:bCs/>
                <w:color w:val="000000"/>
                <w:kern w:val="0"/>
                <w:sz w:val="24"/>
              </w:rPr>
            </w:pPr>
            <w:r>
              <w:rPr>
                <w:rFonts w:hint="eastAsia" w:ascii="仿宋_GB2312" w:hAnsi="宋体" w:cs="宋体"/>
                <w:b/>
                <w:bCs/>
                <w:kern w:val="0"/>
                <w:sz w:val="24"/>
              </w:rPr>
              <w:t>（8分）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11.1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烧烤卤肉应依次分设原料加工区（或间）、烧烤卤肉区（或间）、冷却区（或间）或密闭式凉冻纱柜，成品销售如有切配应按专间要求设置。不能有明沟，地漏带水封。</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w:t>
            </w:r>
            <w:r>
              <w:rPr>
                <w:rFonts w:hint="eastAsia" w:ascii="仿宋_GB2312" w:hAnsi="宋体"/>
                <w:sz w:val="24"/>
                <w:szCs w:val="24"/>
              </w:rPr>
              <w:t>1分</w:t>
            </w:r>
            <w:r>
              <w:rPr>
                <w:rFonts w:hint="eastAsia" w:ascii="仿宋_GB2312" w:hAnsi="宋体"/>
                <w:sz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11.2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原料加工区（或间）内设原料粗加工区、腌制处理区、风干区，与其相对应的区域配置和加工规模相适应的专用食品清洗水池和工具清洗水池、冷藏设备、操作台、辅料存放柜等。</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11.3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sz w:val="24"/>
              </w:rPr>
              <w:t>评估项目：</w:t>
            </w:r>
            <w:r>
              <w:rPr>
                <w:rFonts w:hint="eastAsia" w:ascii="仿宋_GB2312" w:hAnsi="宋体" w:cs="宋体"/>
                <w:sz w:val="24"/>
              </w:rPr>
              <w:t>原料、半成品应分开放置，成品应有专用存放场所，避免受到污染。烧烤时应避免食品直接接触火焰。</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12</w:t>
            </w:r>
          </w:p>
          <w:p>
            <w:pPr>
              <w:jc w:val="center"/>
              <w:rPr>
                <w:rFonts w:ascii="仿宋_GB2312" w:hAnsi="宋体" w:cs="宋体"/>
                <w:b/>
                <w:bCs/>
                <w:color w:val="000000"/>
                <w:kern w:val="0"/>
                <w:sz w:val="24"/>
              </w:rPr>
            </w:pPr>
            <w:r>
              <w:rPr>
                <w:rFonts w:hint="eastAsia" w:ascii="仿宋_GB2312" w:hAnsi="宋体" w:cs="宋体"/>
                <w:b/>
                <w:bCs/>
                <w:kern w:val="0"/>
                <w:sz w:val="24"/>
              </w:rPr>
              <w:t>清洗消毒（10分）</w:t>
            </w: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kern w:val="0"/>
                <w:sz w:val="24"/>
                <w:szCs w:val="24"/>
              </w:rPr>
              <w:t>学校食堂、大型餐馆、集体配送单位的餐具、食品用工具及盛放直接入口食品的容器应采用热力方法进行有效消毒（材质无法热力消毒的除外）保洁，抽检结果合格，</w:t>
            </w:r>
            <w:r>
              <w:rPr>
                <w:rFonts w:hint="eastAsia" w:ascii="仿宋_GB2312" w:hAnsi="宋体" w:cs="宋体"/>
                <w:sz w:val="24"/>
                <w:szCs w:val="24"/>
              </w:rPr>
              <w:t>保洁设施应有明显标识，其结构应密闭并易于清洁。餐用具保洁设施应定期清洗，保持洁净。</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现场检查发现一项不符合扣1分；抽检不合格扣2分。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 xml:space="preserve">餐用具清洗消毒水池应专用，与食品原料、清洁用具及接触非直接入口食品的工具、容器清洗水池分开。并分餐厨垃圾区、清洗区、消毒区和保洁区。         </w:t>
            </w:r>
          </w:p>
          <w:p>
            <w:pPr>
              <w:jc w:val="left"/>
              <w:rPr>
                <w:rFonts w:ascii="仿宋_GB2312" w:hAnsi="宋体" w:cs="宋体"/>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12.3</w:t>
            </w:r>
          </w:p>
          <w:p>
            <w:pPr>
              <w:widowControl/>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 xml:space="preserve">各类清洗消毒方式设专用水池的最低数量：采用化学消毒的，至少设有3个专用水池(一洗、二消、三冲等)。采用人工清洗热力消毒的，可设置2个专用水池，均做好相应标识。                       </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12.4</w:t>
            </w:r>
          </w:p>
          <w:p>
            <w:pPr>
              <w:widowControl/>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采用自动清洗消毒设备的，消毒温度、时间等应确保消毒效果满足相关标准要求；采用化学消毒的，岗位人员应采用正确的消毒和清洗方法，所用的药物符合有效的消毒要求。</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12.5</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已消毒和未消毒的餐用具应分开存放，保洁柜内不得存放其他物品。</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13</w:t>
            </w:r>
          </w:p>
          <w:p>
            <w:pPr>
              <w:jc w:val="center"/>
              <w:rPr>
                <w:rFonts w:ascii="仿宋_GB2312" w:hAnsi="宋体" w:cs="宋体"/>
                <w:b/>
                <w:bCs/>
                <w:kern w:val="0"/>
                <w:sz w:val="24"/>
              </w:rPr>
            </w:pPr>
            <w:r>
              <w:rPr>
                <w:rFonts w:hint="eastAsia" w:ascii="仿宋_GB2312" w:hAnsi="宋体" w:cs="宋体"/>
                <w:b/>
                <w:bCs/>
                <w:kern w:val="0"/>
                <w:sz w:val="24"/>
              </w:rPr>
              <w:t>食品添加剂管理</w:t>
            </w:r>
          </w:p>
          <w:p>
            <w:pPr>
              <w:jc w:val="center"/>
              <w:rPr>
                <w:rFonts w:ascii="仿宋_GB2312" w:hAnsi="宋体" w:cs="宋体"/>
                <w:b/>
                <w:bCs/>
                <w:kern w:val="0"/>
                <w:sz w:val="24"/>
              </w:rPr>
            </w:pPr>
            <w:r>
              <w:rPr>
                <w:rFonts w:hint="eastAsia" w:ascii="仿宋_GB2312" w:hAnsi="宋体" w:cs="宋体"/>
                <w:b/>
                <w:bCs/>
                <w:kern w:val="0"/>
                <w:sz w:val="24"/>
              </w:rPr>
              <w:t>（6分）</w:t>
            </w: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13.1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sz w:val="24"/>
              </w:rPr>
              <w:t>评估项目：</w:t>
            </w:r>
            <w:r>
              <w:rPr>
                <w:rFonts w:hint="eastAsia" w:ascii="仿宋_GB2312" w:hAnsi="宋体" w:cs="宋体"/>
                <w:kern w:val="0"/>
                <w:sz w:val="24"/>
              </w:rPr>
              <w:t>按照标准规定的使用范围和使用量使用食品添加剂，不得采购、贮存和使用亚硝酸盐、</w:t>
            </w:r>
            <w:r>
              <w:rPr>
                <w:rFonts w:hint="eastAsia" w:ascii="仿宋_GB2312" w:hAnsi="宋体" w:cs="宋体"/>
                <w:color w:val="000000"/>
                <w:kern w:val="0"/>
                <w:sz w:val="24"/>
              </w:rPr>
              <w:t>防腐剂、乳化剂、稳定剂。</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使用禁止使用添加剂或</w:t>
            </w:r>
            <w:r>
              <w:rPr>
                <w:rFonts w:hint="eastAsia" w:ascii="仿宋_GB2312" w:hAnsi="宋体" w:cs="宋体"/>
                <w:kern w:val="0"/>
                <w:sz w:val="24"/>
              </w:rPr>
              <w:t>滥用</w:t>
            </w:r>
            <w:r>
              <w:rPr>
                <w:rFonts w:hint="eastAsia" w:ascii="仿宋_GB2312" w:hAnsi="宋体" w:cs="宋体"/>
                <w:bCs/>
                <w:kern w:val="0"/>
                <w:sz w:val="24"/>
              </w:rPr>
              <w:t>的扣2分</w:t>
            </w:r>
            <w:r>
              <w:rPr>
                <w:rFonts w:hint="eastAsia" w:ascii="仿宋_GB2312" w:hAnsi="宋体"/>
                <w:sz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13.2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食品添加剂的存放应有固定的场所（或橱柜），标识“食品添加剂”字样，使用容器盛放拆包后的食品添加剂的，应在盛装容器上应标明食品添加剂名称，并保留原包装。</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r>
              <w:rPr>
                <w:rFonts w:hint="eastAsia" w:ascii="仿宋_GB2312" w:hAnsi="宋体" w:cs="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13.3</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使用有限量使用要求的食品添加剂应采用精确的计量工具称量，并有详细记录。</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无计量工具或工具不</w:t>
            </w:r>
            <w:r>
              <w:rPr>
                <w:rFonts w:hint="eastAsia" w:ascii="仿宋_GB2312" w:hAnsi="宋体" w:cs="宋体"/>
                <w:sz w:val="24"/>
              </w:rPr>
              <w:t>精确</w:t>
            </w:r>
            <w:r>
              <w:rPr>
                <w:rFonts w:hint="eastAsia" w:ascii="仿宋_GB2312" w:hAnsi="宋体" w:cs="宋体"/>
                <w:bCs/>
                <w:kern w:val="0"/>
                <w:sz w:val="24"/>
              </w:rPr>
              <w:t>的扣2分；</w:t>
            </w:r>
            <w:r>
              <w:rPr>
                <w:rFonts w:hint="eastAsia" w:ascii="仿宋_GB2312" w:hAnsi="宋体" w:cs="宋体"/>
                <w:sz w:val="24"/>
              </w:rPr>
              <w:t>无记录或记录不全的扣1分</w:t>
            </w:r>
            <w:r>
              <w:rPr>
                <w:rFonts w:hint="eastAsia" w:ascii="仿宋_GB2312" w:hAnsi="宋体"/>
                <w:sz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14</w:t>
            </w:r>
          </w:p>
          <w:p>
            <w:pPr>
              <w:jc w:val="center"/>
              <w:rPr>
                <w:rFonts w:ascii="仿宋_GB2312" w:hAnsi="宋体" w:cs="宋体"/>
                <w:b/>
                <w:bCs/>
                <w:kern w:val="0"/>
                <w:sz w:val="24"/>
              </w:rPr>
            </w:pPr>
            <w:r>
              <w:rPr>
                <w:rFonts w:hint="eastAsia" w:ascii="仿宋_GB2312" w:hAnsi="宋体" w:cs="宋体"/>
                <w:b/>
                <w:bCs/>
                <w:kern w:val="0"/>
                <w:sz w:val="24"/>
              </w:rPr>
              <w:t>集体用餐</w:t>
            </w:r>
          </w:p>
          <w:p>
            <w:pPr>
              <w:jc w:val="center"/>
              <w:rPr>
                <w:rFonts w:ascii="仿宋_GB2312" w:hAnsi="宋体" w:cs="宋体"/>
                <w:b/>
                <w:bCs/>
                <w:kern w:val="0"/>
                <w:sz w:val="24"/>
              </w:rPr>
            </w:pPr>
            <w:r>
              <w:rPr>
                <w:rFonts w:hint="eastAsia" w:ascii="仿宋_GB2312" w:hAnsi="宋体" w:cs="宋体"/>
                <w:b/>
                <w:bCs/>
                <w:kern w:val="0"/>
                <w:sz w:val="24"/>
              </w:rPr>
              <w:t>配送</w:t>
            </w:r>
          </w:p>
          <w:p>
            <w:pPr>
              <w:jc w:val="center"/>
              <w:rPr>
                <w:rFonts w:ascii="仿宋_GB2312" w:hAnsi="宋体" w:cs="宋体"/>
                <w:b/>
                <w:bCs/>
                <w:kern w:val="0"/>
                <w:sz w:val="24"/>
              </w:rPr>
            </w:pPr>
            <w:r>
              <w:rPr>
                <w:rFonts w:hint="eastAsia" w:ascii="仿宋_GB2312" w:hAnsi="宋体" w:cs="宋体"/>
                <w:b/>
                <w:bCs/>
                <w:kern w:val="0"/>
                <w:sz w:val="24"/>
              </w:rPr>
              <w:t>（10分）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盛装分送食品的容器不得直接放置于地面，容器表面应标明加工单位、生产日期及时间、食用时限，必要时标注保存条件和食用方法。</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sz w:val="24"/>
              </w:rPr>
              <w:t>放置于地面上的</w:t>
            </w:r>
            <w:r>
              <w:rPr>
                <w:rFonts w:hint="eastAsia" w:ascii="仿宋_GB2312" w:hAnsi="宋体"/>
                <w:sz w:val="24"/>
              </w:rPr>
              <w:t>扣1分，</w:t>
            </w:r>
            <w:r>
              <w:rPr>
                <w:rFonts w:hint="eastAsia" w:ascii="仿宋_GB2312" w:hAnsi="宋体" w:cs="宋体"/>
                <w:sz w:val="24"/>
              </w:rPr>
              <w:t>没有标注或</w:t>
            </w:r>
            <w:r>
              <w:rPr>
                <w:rFonts w:hint="eastAsia" w:ascii="仿宋_GB2312" w:hAnsi="宋体"/>
                <w:sz w:val="24"/>
              </w:rPr>
              <w:t>内容不全扣1分。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sz w:val="24"/>
              </w:rPr>
            </w:pPr>
            <w:r>
              <w:rPr>
                <w:rFonts w:hint="eastAsia" w:ascii="仿宋_GB2312" w:hAnsi="宋体" w:cs="宋体"/>
                <w:b/>
                <w:bCs/>
                <w:sz w:val="24"/>
              </w:rPr>
              <w:t>评估项目：</w:t>
            </w:r>
            <w:r>
              <w:rPr>
                <w:rFonts w:hint="eastAsia" w:ascii="仿宋_GB2312" w:hAnsi="宋体" w:cs="宋体"/>
                <w:sz w:val="24"/>
              </w:rPr>
              <w:t>食品加工操作和贮存场所面积与加工食品的品种和数量相适应</w:t>
            </w:r>
            <w:r>
              <w:rPr>
                <w:rFonts w:hint="eastAsia" w:ascii="仿宋_GB2312" w:hAnsi="宋体"/>
                <w:sz w:val="24"/>
              </w:rPr>
              <w:t>。</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rPr>
              <w:t>现场检查发现不符合扣2分。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14.3</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集体用餐配送的食品不得在8℃～60℃的温度条件下贮存和运输，烧熟后2小时的食品中心温度保持在60℃以上（热藏）的，其保质期为烧熟后4小时。烧熟后2小时的食品中心温度保持在8℃以下（冷藏）的，保质期为烧熟后24小时，供餐前应加热，且中心温度须达到70℃以上。</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14.4</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配送车辆应配备符合条件的冷藏或加热保温设备或装置，使运输过程中食品的中心温度保持在8℃以下或60℃以上。运输车辆应保持清洁，每次运输食品前应进行清洗消毒，防止食品受到污染。包装材料应符合国家有关食品安全标准和规定的要求。</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14.5</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rPr>
                <w:rFonts w:ascii="仿宋_GB2312" w:hAnsi="宋体" w:cs="Arial"/>
                <w:color w:val="000000"/>
                <w:kern w:val="0"/>
                <w:sz w:val="24"/>
              </w:rPr>
            </w:pPr>
            <w:r>
              <w:rPr>
                <w:rFonts w:hint="eastAsia" w:ascii="仿宋_GB2312" w:hAnsi="宋体" w:cs="宋体"/>
                <w:b/>
                <w:bCs/>
                <w:sz w:val="24"/>
              </w:rPr>
              <w:t>评估项目：</w:t>
            </w:r>
            <w:r>
              <w:rPr>
                <w:rFonts w:hint="eastAsia" w:ascii="仿宋_GB2312" w:hAnsi="宋体" w:cs="Arial"/>
                <w:color w:val="000000"/>
                <w:kern w:val="0"/>
                <w:sz w:val="24"/>
              </w:rPr>
              <w:t>应当制作规范的产品配送清单（出货单），项目内容包括配送单位名称、配送对象、配送日期、品种、数量、发货人、收货人等。</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无配送清单扣2分，配送清单内容不全或错误每项扣0.5分。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15</w:t>
            </w:r>
          </w:p>
          <w:p>
            <w:pPr>
              <w:jc w:val="center"/>
              <w:rPr>
                <w:rFonts w:ascii="仿宋_GB2312" w:hAnsi="宋体" w:cs="宋体"/>
                <w:b/>
                <w:bCs/>
                <w:kern w:val="0"/>
                <w:sz w:val="24"/>
              </w:rPr>
            </w:pPr>
            <w:r>
              <w:rPr>
                <w:rFonts w:hint="eastAsia" w:ascii="仿宋_GB2312" w:hAnsi="宋体" w:cs="宋体"/>
                <w:b/>
                <w:bCs/>
                <w:kern w:val="0"/>
                <w:sz w:val="24"/>
              </w:rPr>
              <w:t>食品留样</w:t>
            </w:r>
          </w:p>
          <w:p>
            <w:pPr>
              <w:jc w:val="center"/>
              <w:rPr>
                <w:rFonts w:ascii="仿宋_GB2312" w:hAnsi="宋体" w:cs="宋体"/>
                <w:b/>
                <w:bCs/>
                <w:kern w:val="0"/>
                <w:sz w:val="24"/>
              </w:rPr>
            </w:pPr>
            <w:r>
              <w:rPr>
                <w:rFonts w:hint="eastAsia" w:ascii="仿宋_GB2312" w:hAnsi="宋体" w:cs="宋体"/>
                <w:b/>
                <w:bCs/>
                <w:kern w:val="0"/>
                <w:sz w:val="24"/>
              </w:rPr>
              <w:t>（5分）</w:t>
            </w: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15.1</w:t>
            </w:r>
          </w:p>
          <w:p>
            <w:pPr>
              <w:widowControl/>
              <w:jc w:val="center"/>
              <w:rPr>
                <w:rFonts w:ascii="仿宋_GB2312" w:hAnsi="宋体" w:cs="宋体"/>
                <w:color w:val="000000"/>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重大活动餐饮服务单位提供的食品，每批次或餐次食品应当留样，存放于专用冷藏设施并在0℃-8℃的条件下冷藏存放48小时以上，留样专用冷藏设施应上锁，并专人负责。</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kern w:val="0"/>
                <w:sz w:val="24"/>
              </w:rPr>
              <w:t>无专用留样冰箱的扣1分，设备温度不达标的扣1分，为专人专管并上锁的扣1分</w:t>
            </w:r>
            <w:r>
              <w:rPr>
                <w:rFonts w:hint="eastAsia" w:ascii="仿宋_GB2312" w:hAnsi="宋体"/>
                <w:sz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15.2</w:t>
            </w:r>
          </w:p>
          <w:p>
            <w:pPr>
              <w:rPr>
                <w:rFonts w:ascii="仿宋_GB2312"/>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食品留样应按品种分别盛放于清洗消毒后的专用密闭容器内，留样的容器上应有餐次、食品名称、留样时间（年月日时分）、留样人等信息，每个品种留样量不少于125g；留样记录应详细记录留样食品名称、留样量、留样时间（年月日时分）、留样人员前面等。</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少一个食品</w:t>
            </w:r>
            <w:r>
              <w:rPr>
                <w:rFonts w:hint="eastAsia" w:ascii="仿宋_GB2312" w:hAnsi="宋体"/>
                <w:sz w:val="24"/>
              </w:rPr>
              <w:t>没留样的扣1分，留样信息不完整的，每项扣0.5分。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16</w:t>
            </w:r>
          </w:p>
          <w:p>
            <w:pPr>
              <w:jc w:val="center"/>
              <w:rPr>
                <w:rFonts w:ascii="仿宋_GB2312" w:hAnsi="宋体" w:cs="宋体"/>
                <w:b/>
                <w:bCs/>
                <w:kern w:val="0"/>
                <w:sz w:val="24"/>
              </w:rPr>
            </w:pPr>
            <w:r>
              <w:rPr>
                <w:rFonts w:hint="eastAsia" w:ascii="仿宋_GB2312" w:hAnsi="宋体" w:cs="宋体"/>
                <w:b/>
                <w:bCs/>
                <w:kern w:val="0"/>
                <w:sz w:val="24"/>
              </w:rPr>
              <w:t>检验室</w:t>
            </w:r>
          </w:p>
          <w:p>
            <w:pPr>
              <w:jc w:val="center"/>
              <w:rPr>
                <w:rFonts w:ascii="仿宋_GB2312" w:hAnsi="宋体" w:cs="宋体"/>
                <w:b/>
                <w:bCs/>
                <w:kern w:val="0"/>
                <w:sz w:val="24"/>
              </w:rPr>
            </w:pPr>
            <w:r>
              <w:rPr>
                <w:rFonts w:hint="eastAsia" w:ascii="仿宋_GB2312" w:hAnsi="宋体" w:cs="宋体"/>
                <w:b/>
                <w:bCs/>
                <w:kern w:val="0"/>
                <w:sz w:val="24"/>
              </w:rPr>
              <w:t>（6分）</w:t>
            </w: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16.1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集体用餐配送单位和中央厨房应设置与加工制作的食品品种相适应的检验室</w:t>
            </w:r>
            <w:r>
              <w:rPr>
                <w:rFonts w:hint="eastAsia" w:ascii="仿宋_GB2312" w:hAnsi="宋体" w:cs="宋体"/>
                <w:kern w:val="0"/>
                <w:sz w:val="24"/>
                <w:lang w:val="zh-CN"/>
              </w:rPr>
              <w:t>。</w:t>
            </w:r>
            <w:r>
              <w:rPr>
                <w:rFonts w:hint="eastAsia" w:ascii="仿宋_GB2312" w:hAnsi="宋体" w:cs="宋体"/>
                <w:sz w:val="24"/>
              </w:rPr>
              <w:t xml:space="preserve"> 检验室不得设在食品加工区内，面积不小于25㎡，有独立的排水系统。</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cs="宋体"/>
                <w:sz w:val="24"/>
                <w:szCs w:val="22"/>
              </w:rPr>
              <w:t>未建设实验室的扣2分，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16.2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配备相应的检验设施和检验人员，具有</w:t>
            </w:r>
            <w:r>
              <w:rPr>
                <w:rFonts w:hint="eastAsia" w:ascii="仿宋_GB2312" w:hAnsi="宋体" w:cs="宋体"/>
                <w:kern w:val="0"/>
                <w:sz w:val="24"/>
              </w:rPr>
              <w:t>快速检测食品原料中兽药残留、农药残留等理化指标和检验食品菌落总数、大肠菌群等微生物指标以及接触直接入口食品的餐用具大肠菌群等</w:t>
            </w:r>
            <w:r>
              <w:rPr>
                <w:rFonts w:hint="eastAsia" w:ascii="仿宋_GB2312" w:hAnsi="宋体" w:cs="宋体"/>
                <w:sz w:val="24"/>
              </w:rPr>
              <w:t>项目的能力。</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szCs w:val="22"/>
              </w:rPr>
              <w:t>提供相关项目开展记录，</w:t>
            </w:r>
            <w:r>
              <w:rPr>
                <w:rFonts w:hint="eastAsia" w:ascii="仿宋_GB2312" w:hAnsi="宋体"/>
                <w:sz w:val="24"/>
              </w:rPr>
              <w:t>一项</w:t>
            </w:r>
            <w:r>
              <w:rPr>
                <w:rFonts w:hint="eastAsia" w:ascii="仿宋_GB2312" w:hAnsi="宋体"/>
                <w:sz w:val="24"/>
                <w:szCs w:val="22"/>
              </w:rPr>
              <w:t>未开展的</w:t>
            </w:r>
            <w:r>
              <w:rPr>
                <w:rFonts w:hint="eastAsia" w:ascii="仿宋_GB2312" w:hAnsi="宋体"/>
                <w:sz w:val="24"/>
              </w:rPr>
              <w:t>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16.3</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集体用餐配送单位和中央厨房</w:t>
            </w:r>
            <w:r>
              <w:rPr>
                <w:rFonts w:hint="eastAsia" w:ascii="仿宋_GB2312" w:hAnsi="宋体" w:cs="宋体"/>
                <w:kern w:val="0"/>
                <w:sz w:val="24"/>
              </w:rPr>
              <w:t>应当对每批次或餐次食品进行</w:t>
            </w:r>
            <w:r>
              <w:rPr>
                <w:rFonts w:hint="eastAsia" w:ascii="仿宋_GB2312" w:hAnsi="宋体" w:eastAsia="仿宋_GB2312" w:cs="宋体"/>
                <w:kern w:val="2"/>
                <w:sz w:val="24"/>
                <w:szCs w:val="24"/>
                <w:lang w:val="en-US" w:eastAsia="zh-CN" w:bidi="ar-SA"/>
              </w:rPr>
              <w:t>抽样检测，如实记录检测结果，记录检测阳性的批次或餐次食品的处理情况。</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17</w:t>
            </w:r>
          </w:p>
          <w:p>
            <w:pPr>
              <w:jc w:val="center"/>
              <w:rPr>
                <w:rFonts w:ascii="仿宋_GB2312" w:hAnsi="宋体" w:cs="宋体"/>
                <w:b/>
                <w:bCs/>
                <w:kern w:val="0"/>
                <w:sz w:val="24"/>
              </w:rPr>
            </w:pPr>
            <w:r>
              <w:rPr>
                <w:rFonts w:hint="eastAsia" w:ascii="仿宋_GB2312" w:hAnsi="宋体" w:cs="宋体"/>
                <w:b/>
                <w:bCs/>
                <w:kern w:val="0"/>
                <w:sz w:val="24"/>
              </w:rPr>
              <w:t>食品储存</w:t>
            </w:r>
          </w:p>
          <w:p>
            <w:pPr>
              <w:jc w:val="center"/>
              <w:rPr>
                <w:rFonts w:ascii="仿宋_GB2312" w:hAnsi="宋体" w:cs="宋体"/>
                <w:b/>
                <w:bCs/>
                <w:kern w:val="0"/>
                <w:sz w:val="24"/>
              </w:rPr>
            </w:pPr>
            <w:r>
              <w:rPr>
                <w:rFonts w:hint="eastAsia" w:ascii="仿宋_GB2312" w:hAnsi="宋体" w:cs="宋体"/>
                <w:b/>
                <w:bCs/>
                <w:kern w:val="0"/>
                <w:sz w:val="24"/>
              </w:rPr>
              <w:t>（10分）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食品和非食品（食品容器、包装材料、工具等物品除外）库房应分开设置。食品贮存场所、设备应保持通风、防潮、清洁，无霉斑、鼠迹、苍蝇、蟑螂等，不得存放有毒、有害物品及个人生活用品。</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sz w:val="24"/>
                <w:szCs w:val="24"/>
              </w:rPr>
              <w:t>存在存放非食品的扣2分；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widowControl/>
              <w:jc w:val="center"/>
              <w:rPr>
                <w:rFonts w:ascii="仿宋_GB2312" w:hAnsi="宋体" w:cs="宋体"/>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食品应当分类、分架存放，距离墙壁、地面均在10cm以上。食品原料、食品添加剂使用应遵循先进先出的原则，及时清理销毁变质和过期的原料及食品添加剂。散装食品须标示品名、采购日期、使用期限等信息。</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宋体"/>
                <w:sz w:val="24"/>
                <w:szCs w:val="24"/>
              </w:rPr>
              <w:t>发现变质和过期食品原料及添加剂的，扣2分；未分类存放的</w:t>
            </w:r>
            <w:r>
              <w:rPr>
                <w:rFonts w:hint="eastAsia" w:ascii="仿宋_GB2312" w:hAnsi="宋体" w:cs="Times New Roman"/>
                <w:sz w:val="24"/>
                <w:szCs w:val="24"/>
              </w:rPr>
              <w:t>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cs="宋体"/>
                <w:sz w:val="24"/>
                <w:szCs w:val="24"/>
              </w:rPr>
              <w:t>散装食品</w:t>
            </w:r>
            <w:r>
              <w:rPr>
                <w:rFonts w:hint="eastAsia" w:ascii="仿宋_GB2312" w:hAnsi="宋体" w:cs="Times New Roman"/>
                <w:sz w:val="24"/>
                <w:szCs w:val="24"/>
              </w:rPr>
              <w:t>标识不规范的扣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widowControl/>
              <w:jc w:val="center"/>
              <w:rPr>
                <w:rFonts w:ascii="仿宋_GB2312" w:hAnsi="宋体" w:cs="宋体"/>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17.3</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冷藏、冷冻柜（库）应有明显区分标识，并有正确指示库内温度的温度计。冷藏、冷冻的温度应符合相应的温度范围要求。冷藏、冷冻柜（库）应定期除霜（不超过1cm）、清洁、校验温度（指示）计。</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383" w:type="dxa"/>
            <w:vMerge w:val="continue"/>
            <w:shd w:val="clear" w:color="000000" w:fill="FFFFFF"/>
            <w:vAlign w:val="center"/>
          </w:tcPr>
          <w:p>
            <w:pPr>
              <w:widowControl/>
              <w:jc w:val="center"/>
              <w:rPr>
                <w:rFonts w:ascii="仿宋_GB2312" w:hAnsi="宋体" w:cs="宋体"/>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17.4</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冷藏、冷冻贮存应做到原料、半成品、成品严格分开放置，植物性食品、动物性食品和水产品分类摆放，不得将食品堆积、挤压存放。</w:t>
            </w:r>
            <w:r>
              <w:rPr>
                <w:rFonts w:hint="eastAsia" w:ascii="仿宋_GB2312" w:hAnsi="宋体" w:cs="宋体"/>
                <w:kern w:val="0"/>
                <w:sz w:val="24"/>
                <w:szCs w:val="24"/>
              </w:rPr>
              <w:t>冰箱内半成品或成品须用保鲜膜或餐盒等密封保存，防止交叉污染</w:t>
            </w:r>
            <w:r>
              <w:rPr>
                <w:rFonts w:hint="eastAsia" w:ascii="仿宋_GB2312" w:hAnsi="宋体" w:cs="宋体"/>
                <w:sz w:val="24"/>
                <w:szCs w:val="24"/>
              </w:rPr>
              <w:t>。</w:t>
            </w:r>
          </w:p>
          <w:p>
            <w:pPr>
              <w:pStyle w:val="3"/>
              <w:rPr>
                <w:rFonts w:ascii="仿宋_GB2312" w:hAnsi="宋体" w:cs="宋体"/>
                <w:b/>
                <w:bCs/>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widowControl/>
              <w:jc w:val="center"/>
              <w:rPr>
                <w:rFonts w:ascii="仿宋_GB2312" w:hAnsi="宋体" w:cs="宋体"/>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17.5</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Arial"/>
                <w:color w:val="000000"/>
                <w:kern w:val="0"/>
                <w:sz w:val="24"/>
                <w:szCs w:val="24"/>
              </w:rPr>
            </w:pPr>
            <w:r>
              <w:rPr>
                <w:rFonts w:hint="eastAsia" w:ascii="仿宋_GB2312" w:hAnsi="宋体" w:cs="宋体"/>
                <w:b/>
                <w:bCs/>
                <w:sz w:val="24"/>
                <w:szCs w:val="24"/>
              </w:rPr>
              <w:t>评估项目：</w:t>
            </w:r>
            <w:r>
              <w:rPr>
                <w:rFonts w:hint="eastAsia" w:ascii="仿宋_GB2312" w:hAnsi="宋体" w:cs="Arial"/>
                <w:color w:val="000000"/>
                <w:kern w:val="0"/>
                <w:sz w:val="24"/>
                <w:szCs w:val="24"/>
              </w:rPr>
              <w:t>建立食品采购管理台帐，内容包括：供货商信息和产品采购信息：包括名称、地址、联系方式以及配送食品的品种等。鼓励使用信息化手段，建立食品可追溯系统。</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未能提供管理台账的，扣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 xml:space="preserve"> ；采购或配送单信息不完整的，一项扣0.5分。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18</w:t>
            </w:r>
          </w:p>
          <w:p>
            <w:pPr>
              <w:jc w:val="center"/>
              <w:rPr>
                <w:rFonts w:ascii="仿宋_GB2312" w:hAnsi="宋体" w:cs="宋体"/>
                <w:b/>
                <w:bCs/>
                <w:color w:val="FF0000"/>
                <w:kern w:val="0"/>
                <w:sz w:val="24"/>
              </w:rPr>
            </w:pPr>
            <w:r>
              <w:rPr>
                <w:rFonts w:hint="eastAsia" w:ascii="仿宋_GB2312" w:hAnsi="宋体" w:cs="宋体"/>
                <w:b/>
                <w:bCs/>
                <w:kern w:val="0"/>
                <w:sz w:val="24"/>
              </w:rPr>
              <w:t>档案管理（8分）</w:t>
            </w: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18.1</w:t>
            </w:r>
          </w:p>
          <w:p>
            <w:pPr>
              <w:widowControl/>
              <w:jc w:val="center"/>
              <w:rPr>
                <w:rFonts w:ascii="仿宋_GB2312" w:hAnsi="宋体" w:cs="宋体"/>
                <w:kern w:val="0"/>
                <w:sz w:val="24"/>
              </w:rPr>
            </w:pPr>
            <w:r>
              <w:rPr>
                <w:rFonts w:hint="eastAsia" w:ascii="仿宋_GB2312" w:hAnsi="宋体" w:cs="宋体"/>
                <w:sz w:val="24"/>
              </w:rPr>
              <w:t>（8分</w:t>
            </w:r>
            <w:r>
              <w:rPr>
                <w:rFonts w:hint="eastAsia" w:ascii="仿宋_GB2312" w:hAnsi="宋体" w:cs="宋体"/>
                <w:bCs/>
                <w:kern w:val="0"/>
                <w:sz w:val="24"/>
              </w:rPr>
              <w:t>）</w:t>
            </w:r>
          </w:p>
        </w:tc>
        <w:tc>
          <w:tcPr>
            <w:tcW w:w="8115" w:type="dxa"/>
            <w:shd w:val="clear" w:color="000000" w:fill="FFFFFF"/>
            <w:vAlign w:val="center"/>
          </w:tcPr>
          <w:p>
            <w:pPr>
              <w:jc w:val="left"/>
              <w:rPr>
                <w:rFonts w:ascii="仿宋_GB2312" w:hAnsi="宋体" w:cs="宋体"/>
                <w:color w:val="auto"/>
                <w:kern w:val="0"/>
                <w:sz w:val="24"/>
              </w:rPr>
            </w:pPr>
            <w:r>
              <w:rPr>
                <w:rFonts w:hint="eastAsia" w:ascii="仿宋_GB2312" w:hAnsi="宋体" w:cs="宋体"/>
                <w:b/>
                <w:bCs/>
                <w:color w:val="auto"/>
                <w:sz w:val="24"/>
              </w:rPr>
              <w:t>评估项目：</w:t>
            </w:r>
            <w:r>
              <w:rPr>
                <w:rFonts w:hint="eastAsia" w:ascii="仿宋_GB2312" w:hAnsi="宋体" w:cs="宋体"/>
                <w:color w:val="auto"/>
                <w:kern w:val="0"/>
                <w:sz w:val="24"/>
              </w:rPr>
              <w:t>按《深圳市餐饮单位食品安全管理档案》要求，建立完善的食品安全档案资料。提供以下记录包括：</w:t>
            </w:r>
            <w:r>
              <w:rPr>
                <w:rFonts w:hint="eastAsia" w:ascii="仿宋_GB2312" w:hAnsi="宋体" w:cs="宋体"/>
                <w:color w:val="auto"/>
                <w:sz w:val="24"/>
              </w:rPr>
              <w:t>人员健康状况晨检及培训考核记录，原料采购验收，企业食品安全自查记录，食品留样记录，食品添加剂使用记录，灭四害消杀记录，餐厨垃圾回收记录等。</w:t>
            </w:r>
          </w:p>
          <w:p>
            <w:pPr>
              <w:jc w:val="left"/>
              <w:rPr>
                <w:rFonts w:ascii="仿宋_GB2312" w:hAnsi="宋体" w:cs="宋体"/>
                <w:color w:val="auto"/>
                <w:kern w:val="0"/>
                <w:sz w:val="24"/>
              </w:rPr>
            </w:pPr>
            <w:r>
              <w:rPr>
                <w:rFonts w:hint="eastAsia" w:ascii="仿宋_GB2312" w:hAnsi="宋体" w:cs="宋体"/>
                <w:b/>
                <w:bCs/>
                <w:color w:val="auto"/>
                <w:kern w:val="0"/>
                <w:sz w:val="24"/>
              </w:rPr>
              <w:t>评分标准：</w:t>
            </w:r>
            <w:r>
              <w:rPr>
                <w:rFonts w:hint="eastAsia" w:ascii="仿宋_GB2312" w:hAnsi="宋体" w:cs="宋体"/>
                <w:bCs/>
                <w:color w:val="auto"/>
                <w:kern w:val="0"/>
                <w:sz w:val="24"/>
              </w:rPr>
              <w:t>按</w:t>
            </w:r>
            <w:r>
              <w:rPr>
                <w:rFonts w:hint="eastAsia" w:ascii="仿宋_GB2312" w:hAnsi="宋体" w:cs="宋体"/>
                <w:color w:val="auto"/>
                <w:kern w:val="0"/>
                <w:sz w:val="24"/>
              </w:rPr>
              <w:t>《深圳市餐饮单位食品安全管理档案》检查，</w:t>
            </w:r>
            <w:r>
              <w:rPr>
                <w:rFonts w:hint="eastAsia" w:ascii="仿宋_GB2312" w:hAnsi="宋体"/>
                <w:color w:val="auto"/>
                <w:sz w:val="24"/>
              </w:rPr>
              <w:t>发现一项不符合扣1分；记录不完整，一项扣0.5分。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19</w:t>
            </w:r>
          </w:p>
          <w:p>
            <w:pPr>
              <w:jc w:val="center"/>
              <w:rPr>
                <w:rFonts w:ascii="仿宋_GB2312" w:hAnsi="宋体" w:cs="宋体"/>
                <w:b/>
                <w:bCs/>
                <w:kern w:val="0"/>
                <w:sz w:val="24"/>
              </w:rPr>
            </w:pPr>
            <w:r>
              <w:rPr>
                <w:rFonts w:hint="eastAsia" w:ascii="仿宋_GB2312" w:hAnsi="宋体" w:cs="宋体"/>
                <w:b/>
                <w:bCs/>
                <w:kern w:val="0"/>
                <w:sz w:val="24"/>
              </w:rPr>
              <w:t>信息公示</w:t>
            </w:r>
          </w:p>
          <w:p>
            <w:pPr>
              <w:jc w:val="center"/>
              <w:rPr>
                <w:rFonts w:ascii="仿宋_GB2312" w:hAnsi="宋体" w:cs="宋体"/>
                <w:b/>
                <w:bCs/>
                <w:kern w:val="0"/>
                <w:sz w:val="24"/>
              </w:rPr>
            </w:pPr>
            <w:r>
              <w:rPr>
                <w:rFonts w:hint="eastAsia" w:ascii="仿宋_GB2312" w:hAnsi="宋体" w:cs="宋体"/>
                <w:b/>
                <w:bCs/>
                <w:kern w:val="0"/>
                <w:sz w:val="24"/>
              </w:rPr>
              <w:t>（5分）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19.1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auto"/>
                <w:kern w:val="0"/>
                <w:sz w:val="24"/>
              </w:rPr>
            </w:pPr>
            <w:r>
              <w:rPr>
                <w:rFonts w:hint="eastAsia" w:ascii="仿宋_GB2312" w:hAnsi="宋体" w:cs="宋体"/>
                <w:b/>
                <w:bCs/>
                <w:color w:val="auto"/>
                <w:sz w:val="24"/>
              </w:rPr>
              <w:t>评估项目：</w:t>
            </w:r>
            <w:r>
              <w:rPr>
                <w:rFonts w:hint="eastAsia" w:ascii="仿宋_GB2312" w:hAnsi="宋体" w:cs="宋体"/>
                <w:color w:val="auto"/>
                <w:kern w:val="0"/>
                <w:sz w:val="24"/>
              </w:rPr>
              <w:t>在显著位置设置“食品安全信息公示栏”公示以下信息：食品安全组织架构、从业人员健康证、大宗食品原料采购信息、食品添加剂使用信息、食品安全监管信息、企业</w:t>
            </w:r>
            <w:r>
              <w:rPr>
                <w:rFonts w:hint="eastAsia" w:ascii="仿宋_GB2312" w:hAnsi="宋体" w:cs="宋体"/>
                <w:color w:val="auto"/>
                <w:sz w:val="24"/>
              </w:rPr>
              <w:t>食品安全</w:t>
            </w:r>
            <w:r>
              <w:rPr>
                <w:rFonts w:hint="eastAsia" w:ascii="仿宋_GB2312" w:hAnsi="宋体" w:cs="宋体"/>
                <w:color w:val="auto"/>
                <w:kern w:val="0"/>
                <w:sz w:val="24"/>
              </w:rPr>
              <w:t>自查信息、监督投诉电话等。</w:t>
            </w:r>
          </w:p>
          <w:p>
            <w:pPr>
              <w:widowControl/>
              <w:jc w:val="left"/>
              <w:rPr>
                <w:rFonts w:ascii="仿宋_GB2312" w:hAnsi="宋体" w:cs="宋体"/>
                <w:color w:val="auto"/>
                <w:kern w:val="0"/>
                <w:sz w:val="24"/>
              </w:rPr>
            </w:pPr>
            <w:r>
              <w:rPr>
                <w:rFonts w:hint="eastAsia" w:ascii="仿宋_GB2312" w:hAnsi="宋体" w:cs="宋体"/>
                <w:b/>
                <w:bCs/>
                <w:color w:val="auto"/>
                <w:kern w:val="0"/>
                <w:sz w:val="24"/>
              </w:rPr>
              <w:t>评分标准：</w:t>
            </w:r>
            <w:r>
              <w:rPr>
                <w:rFonts w:hint="eastAsia" w:ascii="仿宋_GB2312" w:hAnsi="宋体" w:cs="宋体"/>
                <w:bCs/>
                <w:color w:val="auto"/>
                <w:kern w:val="0"/>
                <w:sz w:val="24"/>
              </w:rPr>
              <w:t>未设公示栏扣2分；</w:t>
            </w:r>
            <w:r>
              <w:rPr>
                <w:rFonts w:hint="eastAsia" w:ascii="仿宋_GB2312" w:hAnsi="宋体" w:cs="宋体"/>
                <w:color w:val="auto"/>
                <w:kern w:val="0"/>
                <w:sz w:val="24"/>
              </w:rPr>
              <w:t>公示不及时、信息不完整的扣1分。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19.2</w:t>
            </w:r>
          </w:p>
          <w:p>
            <w:pPr>
              <w:widowControl/>
              <w:jc w:val="center"/>
              <w:rPr>
                <w:rFonts w:ascii="仿宋_GB2312" w:hAnsi="宋体" w:cs="宋体"/>
                <w:color w:val="000000"/>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sz w:val="24"/>
              </w:rPr>
              <w:t>评估项目：</w:t>
            </w:r>
            <w:r>
              <w:rPr>
                <w:rFonts w:hint="eastAsia" w:ascii="仿宋_GB2312" w:hAnsi="宋体" w:cs="宋体"/>
                <w:kern w:val="0"/>
                <w:sz w:val="24"/>
              </w:rPr>
              <w:t>规范实施“明厨亮灶”(采用透明玻璃、视频式等)。</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没实施明厨亮灶扣3分；</w:t>
            </w:r>
            <w:r>
              <w:rPr>
                <w:rFonts w:hint="eastAsia" w:ascii="仿宋_GB2312" w:hAnsi="宋体" w:cs="宋体"/>
                <w:kern w:val="0"/>
                <w:sz w:val="24"/>
              </w:rPr>
              <w:t>视频式明厨亮灶</w:t>
            </w:r>
            <w:r>
              <w:rPr>
                <w:rFonts w:hint="eastAsia" w:ascii="仿宋_GB2312" w:hAnsi="宋体" w:cs="宋体"/>
                <w:bCs/>
                <w:kern w:val="0"/>
                <w:sz w:val="24"/>
              </w:rPr>
              <w:t>没按规定在显著位置设置显示屏的扣2分。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20</w:t>
            </w:r>
          </w:p>
          <w:p>
            <w:pPr>
              <w:widowControl/>
              <w:jc w:val="center"/>
              <w:rPr>
                <w:rFonts w:ascii="仿宋_GB2312" w:hAnsi="宋体" w:cs="宋体"/>
                <w:kern w:val="0"/>
                <w:sz w:val="24"/>
              </w:rPr>
            </w:pPr>
            <w:r>
              <w:rPr>
                <w:rFonts w:hint="eastAsia" w:ascii="仿宋_GB2312" w:hAnsi="宋体" w:cs="宋体"/>
                <w:b/>
                <w:bCs/>
                <w:kern w:val="0"/>
                <w:sz w:val="24"/>
              </w:rPr>
              <w:t>投诉管理（2分）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20.1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餐饮服务提供者应建立投诉受理制度，对消费者提出的投诉，应立即核实，妥善处理，并且留有记录。</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宋体"/>
                <w:sz w:val="24"/>
                <w:szCs w:val="24"/>
              </w:rPr>
              <w:t>没有建立投诉制度扣1分，投诉没有记录或记录不完整扣1分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shd w:val="clear" w:color="000000" w:fill="FFFFFF"/>
            <w:vAlign w:val="center"/>
          </w:tcPr>
          <w:p>
            <w:pPr>
              <w:widowControl/>
              <w:jc w:val="center"/>
              <w:rPr>
                <w:rFonts w:ascii="仿宋_GB2312" w:hAnsi="宋体" w:cs="宋体"/>
                <w:b/>
                <w:kern w:val="0"/>
                <w:sz w:val="24"/>
              </w:rPr>
            </w:pPr>
            <w:r>
              <w:rPr>
                <w:rFonts w:hint="eastAsia" w:ascii="仿宋_GB2312" w:hAnsi="宋体" w:cs="宋体"/>
                <w:b/>
                <w:kern w:val="0"/>
                <w:sz w:val="24"/>
              </w:rPr>
              <w:t>总分</w:t>
            </w:r>
          </w:p>
        </w:tc>
        <w:tc>
          <w:tcPr>
            <w:tcW w:w="13774" w:type="dxa"/>
            <w:gridSpan w:val="5"/>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200分</w:t>
            </w:r>
          </w:p>
        </w:tc>
      </w:tr>
    </w:tbl>
    <w:p/>
    <w:p>
      <w:pPr>
        <w:rPr>
          <w:sz w:val="24"/>
        </w:rPr>
      </w:pPr>
      <w:r>
        <w:rPr>
          <w:rFonts w:hint="eastAsia"/>
          <w:sz w:val="24"/>
        </w:rPr>
        <w:t>说明：</w:t>
      </w:r>
    </w:p>
    <w:p>
      <w:pPr>
        <w:rPr>
          <w:rFonts w:hint="eastAsia" w:ascii="宋体" w:hAnsi="宋体" w:cs="宋体"/>
          <w:kern w:val="0"/>
          <w:sz w:val="24"/>
          <w:szCs w:val="22"/>
        </w:rPr>
      </w:pPr>
      <w:r>
        <w:rPr>
          <w:rFonts w:hint="eastAsia" w:ascii="宋体" w:hAnsi="宋体" w:cs="宋体"/>
          <w:kern w:val="0"/>
          <w:sz w:val="24"/>
          <w:szCs w:val="22"/>
        </w:rPr>
        <w:t>1.扣分时可累计扣分，直到该编号内分数扣完为止；</w:t>
      </w:r>
    </w:p>
    <w:p>
      <w:pPr>
        <w:rPr>
          <w:rFonts w:hint="eastAsia" w:ascii="宋体" w:hAnsi="宋体" w:cs="宋体"/>
          <w:kern w:val="0"/>
          <w:sz w:val="24"/>
          <w:szCs w:val="22"/>
        </w:rPr>
      </w:pPr>
      <w:r>
        <w:rPr>
          <w:rFonts w:hint="eastAsia" w:ascii="宋体" w:hAnsi="宋体" w:cs="宋体"/>
          <w:kern w:val="0"/>
          <w:sz w:val="24"/>
          <w:szCs w:val="22"/>
        </w:rPr>
        <w:t>2.如餐饮服务单位没有该项检查内容时，如专间，在备注栏里用NA标明；</w:t>
      </w:r>
    </w:p>
    <w:p>
      <w:pPr>
        <w:rPr>
          <w:rFonts w:hint="eastAsia" w:ascii="宋体" w:hAnsi="宋体" w:cs="宋体"/>
          <w:kern w:val="0"/>
          <w:sz w:val="24"/>
          <w:szCs w:val="22"/>
        </w:rPr>
      </w:pPr>
      <w:r>
        <w:rPr>
          <w:rFonts w:hint="eastAsia" w:ascii="宋体" w:hAnsi="宋体" w:cs="宋体"/>
          <w:kern w:val="0"/>
          <w:sz w:val="24"/>
          <w:szCs w:val="22"/>
        </w:rPr>
        <w:t>3.如果检查中发现相同问题重复发生时，只扣一次分；</w:t>
      </w:r>
    </w:p>
    <w:p>
      <w:pPr>
        <w:rPr>
          <w:rFonts w:ascii="宋体" w:hAnsi="宋体" w:cs="宋体"/>
          <w:kern w:val="0"/>
          <w:szCs w:val="21"/>
        </w:rPr>
      </w:pPr>
      <w:r>
        <w:rPr>
          <w:rFonts w:hint="eastAsia" w:ascii="宋体" w:hAnsi="宋体" w:cs="宋体"/>
          <w:kern w:val="0"/>
          <w:sz w:val="24"/>
          <w:szCs w:val="22"/>
        </w:rPr>
        <w:t>4.最后得分计算公式：</w:t>
      </w:r>
      <w:r>
        <w:rPr>
          <w:rFonts w:hint="eastAsia" w:ascii="宋体" w:hAnsi="宋体" w:cs="宋体"/>
          <w:kern w:val="0"/>
          <w:sz w:val="24"/>
        </w:rPr>
        <w:t>（总检查项目分数-总扣分数）/总检查项目分数×100。</w:t>
      </w: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jc w:val="center"/>
        <w:rPr>
          <w:rFonts w:hint="eastAsia" w:ascii="华文中宋" w:hAnsi="华文中宋" w:eastAsia="华文中宋" w:cs="Times New Roman"/>
          <w:kern w:val="2"/>
          <w:sz w:val="44"/>
          <w:szCs w:val="22"/>
          <w:lang w:val="en-US" w:eastAsia="zh-CN" w:bidi="ar-SA"/>
        </w:rPr>
      </w:pPr>
      <w:r>
        <w:rPr>
          <w:rFonts w:hint="eastAsia" w:ascii="华文中宋" w:hAnsi="华文中宋" w:eastAsia="华文中宋" w:cs="Times New Roman"/>
          <w:kern w:val="2"/>
          <w:sz w:val="44"/>
          <w:szCs w:val="22"/>
          <w:lang w:val="en-US" w:eastAsia="zh-CN" w:bidi="ar-SA"/>
        </w:rPr>
        <w:t>评估结果汇总表</w:t>
      </w:r>
    </w:p>
    <w:p>
      <w:pPr>
        <w:jc w:val="left"/>
        <w:rPr>
          <w:rFonts w:hint="default" w:ascii="宋体" w:hAnsi="宋体" w:cs="宋体"/>
          <w:b/>
          <w:kern w:val="0"/>
          <w:sz w:val="24"/>
          <w:szCs w:val="22"/>
          <w:u w:val="single"/>
          <w:lang w:val="en-US" w:eastAsia="zh-CN"/>
        </w:rPr>
      </w:pPr>
      <w:r>
        <w:rPr>
          <w:rFonts w:hint="eastAsia" w:ascii="宋体" w:hAnsi="宋体" w:cs="宋体"/>
          <w:b/>
          <w:kern w:val="0"/>
          <w:sz w:val="24"/>
          <w:szCs w:val="22"/>
          <w:lang w:val="en-US" w:eastAsia="zh-CN"/>
        </w:rPr>
        <w:t>检查单位：</w:t>
      </w:r>
      <w:r>
        <w:rPr>
          <w:rFonts w:hint="eastAsia" w:ascii="宋体" w:hAnsi="宋体" w:cs="宋体"/>
          <w:b/>
          <w:kern w:val="0"/>
          <w:sz w:val="24"/>
          <w:szCs w:val="22"/>
          <w:u w:val="single"/>
          <w:lang w:val="en-US" w:eastAsia="zh-CN"/>
        </w:rPr>
        <w:t xml:space="preserve">                                         </w:t>
      </w:r>
    </w:p>
    <w:p>
      <w:pPr>
        <w:rPr>
          <w:rFonts w:ascii="宋体" w:hAnsi="宋体" w:cs="宋体"/>
          <w:kern w:val="0"/>
          <w:szCs w:val="21"/>
        </w:rPr>
      </w:pPr>
    </w:p>
    <w:tbl>
      <w:tblPr>
        <w:tblStyle w:val="8"/>
        <w:tblpPr w:leftFromText="180" w:rightFromText="180" w:vertAnchor="text" w:horzAnchor="page" w:tblpXSpec="center" w:tblpY="-39"/>
        <w:tblW w:w="14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2848"/>
        <w:gridCol w:w="2848"/>
        <w:gridCol w:w="2848"/>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2848" w:type="dxa"/>
            <w:vAlign w:val="center"/>
          </w:tcPr>
          <w:p>
            <w:pPr>
              <w:jc w:val="center"/>
              <w:rPr>
                <w:rFonts w:ascii="宋体" w:hAnsi="宋体" w:cs="宋体"/>
                <w:b/>
                <w:kern w:val="0"/>
                <w:sz w:val="24"/>
              </w:rPr>
            </w:pPr>
            <w:r>
              <w:rPr>
                <w:rFonts w:hint="eastAsia" w:ascii="宋体" w:hAnsi="宋体" w:cs="宋体"/>
                <w:b/>
                <w:kern w:val="0"/>
                <w:sz w:val="24"/>
              </w:rPr>
              <w:t>检查总项目数</w:t>
            </w:r>
          </w:p>
        </w:tc>
        <w:tc>
          <w:tcPr>
            <w:tcW w:w="2848" w:type="dxa"/>
            <w:vAlign w:val="center"/>
          </w:tcPr>
          <w:p>
            <w:pPr>
              <w:jc w:val="center"/>
              <w:rPr>
                <w:rFonts w:ascii="宋体" w:hAnsi="宋体" w:cs="宋体"/>
                <w:b/>
                <w:kern w:val="0"/>
                <w:sz w:val="24"/>
              </w:rPr>
            </w:pPr>
            <w:r>
              <w:rPr>
                <w:rFonts w:hint="eastAsia" w:ascii="宋体" w:hAnsi="宋体" w:cs="宋体"/>
                <w:b/>
                <w:kern w:val="0"/>
                <w:sz w:val="24"/>
              </w:rPr>
              <w:t>检查总项目分数</w:t>
            </w:r>
          </w:p>
        </w:tc>
        <w:tc>
          <w:tcPr>
            <w:tcW w:w="2848" w:type="dxa"/>
            <w:vAlign w:val="center"/>
          </w:tcPr>
          <w:p>
            <w:pPr>
              <w:jc w:val="center"/>
              <w:rPr>
                <w:rFonts w:ascii="宋体" w:hAnsi="宋体" w:cs="宋体"/>
                <w:b/>
                <w:kern w:val="0"/>
                <w:sz w:val="24"/>
              </w:rPr>
            </w:pPr>
            <w:r>
              <w:rPr>
                <w:rFonts w:hint="eastAsia" w:ascii="宋体" w:hAnsi="宋体" w:cs="宋体"/>
                <w:b/>
                <w:kern w:val="0"/>
                <w:sz w:val="24"/>
              </w:rPr>
              <w:t>检查扣分数</w:t>
            </w:r>
          </w:p>
        </w:tc>
        <w:tc>
          <w:tcPr>
            <w:tcW w:w="2848" w:type="dxa"/>
            <w:vAlign w:val="center"/>
          </w:tcPr>
          <w:p>
            <w:pPr>
              <w:jc w:val="center"/>
              <w:rPr>
                <w:rFonts w:ascii="宋体" w:hAnsi="宋体" w:cs="宋体"/>
                <w:b/>
                <w:kern w:val="0"/>
                <w:sz w:val="24"/>
              </w:rPr>
            </w:pPr>
            <w:r>
              <w:rPr>
                <w:rFonts w:hint="eastAsia" w:ascii="宋体" w:hAnsi="宋体" w:cs="宋体"/>
                <w:b/>
                <w:kern w:val="0"/>
                <w:sz w:val="24"/>
              </w:rPr>
              <w:t>检查得分</w:t>
            </w:r>
          </w:p>
        </w:tc>
        <w:tc>
          <w:tcPr>
            <w:tcW w:w="2848" w:type="dxa"/>
            <w:vAlign w:val="center"/>
          </w:tcPr>
          <w:p>
            <w:pPr>
              <w:jc w:val="center"/>
              <w:rPr>
                <w:rFonts w:hint="eastAsia" w:ascii="宋体" w:hAnsi="宋体" w:cs="宋体"/>
                <w:b/>
                <w:kern w:val="0"/>
                <w:sz w:val="24"/>
              </w:rPr>
            </w:pPr>
            <w:r>
              <w:rPr>
                <w:rFonts w:hint="eastAsia" w:ascii="宋体" w:hAnsi="宋体" w:cs="宋体"/>
                <w:b/>
                <w:kern w:val="0"/>
                <w:sz w:val="24"/>
                <w:szCs w:val="22"/>
              </w:rPr>
              <w:t>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2848" w:type="dxa"/>
            <w:vAlign w:val="center"/>
          </w:tcPr>
          <w:p>
            <w:pPr>
              <w:rPr>
                <w:rFonts w:ascii="宋体" w:hAnsi="宋体" w:cs="宋体"/>
                <w:b/>
                <w:kern w:val="0"/>
                <w:sz w:val="24"/>
              </w:rPr>
            </w:pPr>
          </w:p>
        </w:tc>
        <w:tc>
          <w:tcPr>
            <w:tcW w:w="2848" w:type="dxa"/>
            <w:vAlign w:val="center"/>
          </w:tcPr>
          <w:p>
            <w:pPr>
              <w:rPr>
                <w:rFonts w:ascii="宋体" w:hAnsi="宋体" w:cs="宋体"/>
                <w:b/>
                <w:kern w:val="0"/>
                <w:sz w:val="24"/>
              </w:rPr>
            </w:pPr>
          </w:p>
        </w:tc>
        <w:tc>
          <w:tcPr>
            <w:tcW w:w="2848" w:type="dxa"/>
            <w:vAlign w:val="center"/>
          </w:tcPr>
          <w:p>
            <w:pPr>
              <w:rPr>
                <w:rFonts w:ascii="宋体" w:hAnsi="宋体" w:cs="宋体"/>
                <w:b/>
                <w:kern w:val="0"/>
                <w:sz w:val="24"/>
              </w:rPr>
            </w:pPr>
          </w:p>
        </w:tc>
        <w:tc>
          <w:tcPr>
            <w:tcW w:w="2848" w:type="dxa"/>
            <w:vAlign w:val="center"/>
          </w:tcPr>
          <w:p>
            <w:pPr>
              <w:rPr>
                <w:rFonts w:ascii="宋体" w:hAnsi="宋体" w:cs="宋体"/>
                <w:b/>
                <w:kern w:val="0"/>
                <w:sz w:val="24"/>
              </w:rPr>
            </w:pPr>
          </w:p>
        </w:tc>
        <w:tc>
          <w:tcPr>
            <w:tcW w:w="2848" w:type="dxa"/>
            <w:vAlign w:val="center"/>
          </w:tcPr>
          <w:p>
            <w:pPr>
              <w:rPr>
                <w:rFonts w:ascii="宋体" w:hAnsi="宋体" w:cs="宋体"/>
                <w:b/>
                <w:kern w:val="0"/>
                <w:sz w:val="24"/>
              </w:rPr>
            </w:pPr>
          </w:p>
        </w:tc>
      </w:tr>
    </w:tbl>
    <w:p>
      <w:pPr>
        <w:rPr>
          <w:rFonts w:ascii="宋体" w:hAnsi="宋体" w:cs="宋体"/>
          <w:b/>
          <w:bCs/>
          <w:kern w:val="0"/>
          <w:sz w:val="24"/>
        </w:rPr>
      </w:pPr>
    </w:p>
    <w:p>
      <w:pPr>
        <w:rPr>
          <w:rFonts w:ascii="宋体" w:hAnsi="宋体" w:cs="宋体"/>
          <w:b/>
          <w:bCs/>
          <w:kern w:val="0"/>
          <w:sz w:val="24"/>
        </w:rPr>
      </w:pPr>
      <w:r>
        <w:rPr>
          <w:rFonts w:hint="eastAsia" w:ascii="宋体" w:hAnsi="宋体" w:cs="宋体"/>
          <w:b/>
          <w:bCs/>
          <w:kern w:val="0"/>
          <w:sz w:val="24"/>
        </w:rPr>
        <w:t>检查人签名：                                        陪同人签名：</w:t>
      </w:r>
    </w:p>
    <w:p>
      <w:pPr>
        <w:rPr>
          <w:rFonts w:ascii="宋体" w:hAnsi="宋体" w:cs="宋体"/>
          <w:b/>
          <w:bCs/>
          <w:kern w:val="0"/>
          <w:sz w:val="24"/>
        </w:rPr>
      </w:pPr>
    </w:p>
    <w:p>
      <w:r>
        <w:rPr>
          <w:rFonts w:hint="eastAsia" w:ascii="宋体" w:hAnsi="宋体" w:cs="宋体"/>
          <w:b/>
          <w:bCs/>
          <w:kern w:val="0"/>
          <w:sz w:val="24"/>
        </w:rPr>
        <w:t xml:space="preserve">检查时间：  </w:t>
      </w:r>
      <w:r>
        <w:rPr>
          <w:rFonts w:hint="eastAsia" w:ascii="宋体" w:hAnsi="宋体" w:cs="宋体"/>
          <w:b/>
          <w:bCs/>
          <w:kern w:val="0"/>
          <w:sz w:val="24"/>
          <w:lang w:val="en-US" w:eastAsia="zh-CN"/>
        </w:rPr>
        <w:t xml:space="preserve">      </w:t>
      </w:r>
      <w:r>
        <w:rPr>
          <w:rFonts w:hint="eastAsia" w:ascii="宋体" w:hAnsi="宋体" w:cs="宋体"/>
          <w:b/>
          <w:bCs/>
          <w:kern w:val="0"/>
          <w:sz w:val="24"/>
        </w:rPr>
        <w:t xml:space="preserve">    年     月     日  </w:t>
      </w:r>
    </w:p>
    <w:sectPr>
      <w:footerReference r:id="rId3" w:type="default"/>
      <w:footerReference r:id="rId4" w:type="even"/>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 PAGE </w:instrText>
    </w:r>
    <w:r>
      <w:rPr>
        <w:rFonts w:hint="eastAsia" w:ascii="仿宋_GB2312"/>
        <w:sz w:val="28"/>
        <w:szCs w:val="28"/>
      </w:rPr>
      <w:fldChar w:fldCharType="separate"/>
    </w:r>
    <w:r>
      <w:rPr>
        <w:rFonts w:ascii="仿宋_GB2312"/>
        <w:sz w:val="28"/>
        <w:szCs w:val="28"/>
      </w:rPr>
      <w:t>18</w:t>
    </w:r>
    <w:r>
      <w:rPr>
        <w:rFonts w:hint="eastAsia" w:ascii="仿宋_GB2312"/>
        <w:sz w:val="28"/>
        <w:szCs w:val="28"/>
      </w:rPr>
      <w:fldChar w:fldCharType="end"/>
    </w:r>
    <w:r>
      <w:rPr>
        <w:rFonts w:hint="eastAsia" w:ascii="仿宋_GB2312"/>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7220"/>
    <w:rsid w:val="00005547"/>
    <w:rsid w:val="00035D71"/>
    <w:rsid w:val="000747FF"/>
    <w:rsid w:val="00076802"/>
    <w:rsid w:val="000A683F"/>
    <w:rsid w:val="000E1886"/>
    <w:rsid w:val="001044B3"/>
    <w:rsid w:val="0011191D"/>
    <w:rsid w:val="001127B0"/>
    <w:rsid w:val="00113957"/>
    <w:rsid w:val="00131324"/>
    <w:rsid w:val="00134A18"/>
    <w:rsid w:val="001356EE"/>
    <w:rsid w:val="001517E2"/>
    <w:rsid w:val="00165DC7"/>
    <w:rsid w:val="001931F4"/>
    <w:rsid w:val="001A0D50"/>
    <w:rsid w:val="001C70E6"/>
    <w:rsid w:val="001E133D"/>
    <w:rsid w:val="0021203F"/>
    <w:rsid w:val="00227AC5"/>
    <w:rsid w:val="002507B8"/>
    <w:rsid w:val="002644BA"/>
    <w:rsid w:val="00295628"/>
    <w:rsid w:val="002A3200"/>
    <w:rsid w:val="002A67D5"/>
    <w:rsid w:val="002F026C"/>
    <w:rsid w:val="002F4AD7"/>
    <w:rsid w:val="00301E12"/>
    <w:rsid w:val="00304F7C"/>
    <w:rsid w:val="00365933"/>
    <w:rsid w:val="00373327"/>
    <w:rsid w:val="00397308"/>
    <w:rsid w:val="003B6582"/>
    <w:rsid w:val="003C5AFB"/>
    <w:rsid w:val="00406AED"/>
    <w:rsid w:val="004075F3"/>
    <w:rsid w:val="00424FFA"/>
    <w:rsid w:val="004436D1"/>
    <w:rsid w:val="00460A40"/>
    <w:rsid w:val="004B4EA5"/>
    <w:rsid w:val="00502F4E"/>
    <w:rsid w:val="0050614A"/>
    <w:rsid w:val="0051650A"/>
    <w:rsid w:val="00574A96"/>
    <w:rsid w:val="005764DC"/>
    <w:rsid w:val="00586585"/>
    <w:rsid w:val="00596B2B"/>
    <w:rsid w:val="005C4881"/>
    <w:rsid w:val="005D77D7"/>
    <w:rsid w:val="005F175B"/>
    <w:rsid w:val="00617686"/>
    <w:rsid w:val="00653EB4"/>
    <w:rsid w:val="0067137B"/>
    <w:rsid w:val="006D3514"/>
    <w:rsid w:val="006D75FF"/>
    <w:rsid w:val="00700700"/>
    <w:rsid w:val="007478EC"/>
    <w:rsid w:val="00780684"/>
    <w:rsid w:val="007B23B8"/>
    <w:rsid w:val="007B6881"/>
    <w:rsid w:val="007B73C2"/>
    <w:rsid w:val="007C5B12"/>
    <w:rsid w:val="007C5EA0"/>
    <w:rsid w:val="007E513B"/>
    <w:rsid w:val="00806F87"/>
    <w:rsid w:val="00823B10"/>
    <w:rsid w:val="008309EE"/>
    <w:rsid w:val="00847973"/>
    <w:rsid w:val="008544C5"/>
    <w:rsid w:val="00861797"/>
    <w:rsid w:val="00870E2B"/>
    <w:rsid w:val="008A0BFD"/>
    <w:rsid w:val="008F73C3"/>
    <w:rsid w:val="00915F84"/>
    <w:rsid w:val="00923974"/>
    <w:rsid w:val="0093039F"/>
    <w:rsid w:val="009512CE"/>
    <w:rsid w:val="00964708"/>
    <w:rsid w:val="00966DFD"/>
    <w:rsid w:val="00987404"/>
    <w:rsid w:val="00991E87"/>
    <w:rsid w:val="009A4F3A"/>
    <w:rsid w:val="009C7565"/>
    <w:rsid w:val="00A06768"/>
    <w:rsid w:val="00A127DD"/>
    <w:rsid w:val="00A33120"/>
    <w:rsid w:val="00A71EE2"/>
    <w:rsid w:val="00AE2491"/>
    <w:rsid w:val="00AF37B7"/>
    <w:rsid w:val="00AF7220"/>
    <w:rsid w:val="00B16D76"/>
    <w:rsid w:val="00B40D92"/>
    <w:rsid w:val="00B45FB9"/>
    <w:rsid w:val="00B46B2A"/>
    <w:rsid w:val="00B47F84"/>
    <w:rsid w:val="00B63D91"/>
    <w:rsid w:val="00B66595"/>
    <w:rsid w:val="00B87FE3"/>
    <w:rsid w:val="00BB76C0"/>
    <w:rsid w:val="00BC430D"/>
    <w:rsid w:val="00BD31D3"/>
    <w:rsid w:val="00BD33CF"/>
    <w:rsid w:val="00BE3861"/>
    <w:rsid w:val="00C07208"/>
    <w:rsid w:val="00C1175C"/>
    <w:rsid w:val="00C3122B"/>
    <w:rsid w:val="00C364CF"/>
    <w:rsid w:val="00C41E6C"/>
    <w:rsid w:val="00C44530"/>
    <w:rsid w:val="00C5391B"/>
    <w:rsid w:val="00C6075D"/>
    <w:rsid w:val="00C67B08"/>
    <w:rsid w:val="00C7399C"/>
    <w:rsid w:val="00C80D82"/>
    <w:rsid w:val="00C850EF"/>
    <w:rsid w:val="00C8589E"/>
    <w:rsid w:val="00C86F7F"/>
    <w:rsid w:val="00CB5C3F"/>
    <w:rsid w:val="00CF1EDF"/>
    <w:rsid w:val="00D06114"/>
    <w:rsid w:val="00D8041C"/>
    <w:rsid w:val="00D835FF"/>
    <w:rsid w:val="00D90A02"/>
    <w:rsid w:val="00E07357"/>
    <w:rsid w:val="00E23C65"/>
    <w:rsid w:val="00E270DD"/>
    <w:rsid w:val="00E4044B"/>
    <w:rsid w:val="00E41A35"/>
    <w:rsid w:val="00E76D0D"/>
    <w:rsid w:val="00E96CD0"/>
    <w:rsid w:val="00EC0695"/>
    <w:rsid w:val="00EC68F8"/>
    <w:rsid w:val="00F067C2"/>
    <w:rsid w:val="00F07750"/>
    <w:rsid w:val="00F6205E"/>
    <w:rsid w:val="00F85CF8"/>
    <w:rsid w:val="00F92281"/>
    <w:rsid w:val="00FA2817"/>
    <w:rsid w:val="00FC65B6"/>
    <w:rsid w:val="00FF0AC4"/>
    <w:rsid w:val="05E45EA4"/>
    <w:rsid w:val="06FB38FC"/>
    <w:rsid w:val="087F6CAE"/>
    <w:rsid w:val="09570272"/>
    <w:rsid w:val="0D6A4CA2"/>
    <w:rsid w:val="0E6F2486"/>
    <w:rsid w:val="10196EC6"/>
    <w:rsid w:val="10B321DD"/>
    <w:rsid w:val="10CB5EAC"/>
    <w:rsid w:val="13EB22B5"/>
    <w:rsid w:val="15E212CC"/>
    <w:rsid w:val="15FD4B2D"/>
    <w:rsid w:val="1E504622"/>
    <w:rsid w:val="21FB16EB"/>
    <w:rsid w:val="24400629"/>
    <w:rsid w:val="25816E99"/>
    <w:rsid w:val="25967674"/>
    <w:rsid w:val="26BF17AF"/>
    <w:rsid w:val="29701C27"/>
    <w:rsid w:val="2AD40658"/>
    <w:rsid w:val="2CA51053"/>
    <w:rsid w:val="2CBB19F0"/>
    <w:rsid w:val="2DE3219B"/>
    <w:rsid w:val="2F954E79"/>
    <w:rsid w:val="300D0ED1"/>
    <w:rsid w:val="304039ED"/>
    <w:rsid w:val="32620CC0"/>
    <w:rsid w:val="32893990"/>
    <w:rsid w:val="37857A35"/>
    <w:rsid w:val="39BC7988"/>
    <w:rsid w:val="3CD82F8A"/>
    <w:rsid w:val="3E82117A"/>
    <w:rsid w:val="3F5F7F47"/>
    <w:rsid w:val="40B95358"/>
    <w:rsid w:val="422E7A4F"/>
    <w:rsid w:val="455140B5"/>
    <w:rsid w:val="461A123E"/>
    <w:rsid w:val="492C5F34"/>
    <w:rsid w:val="49530E8D"/>
    <w:rsid w:val="49EF4481"/>
    <w:rsid w:val="4A802994"/>
    <w:rsid w:val="53055B86"/>
    <w:rsid w:val="533A5387"/>
    <w:rsid w:val="596E59BE"/>
    <w:rsid w:val="59F14E04"/>
    <w:rsid w:val="5C294E1E"/>
    <w:rsid w:val="6009296B"/>
    <w:rsid w:val="604829B7"/>
    <w:rsid w:val="60602F2D"/>
    <w:rsid w:val="65F5256C"/>
    <w:rsid w:val="665A20F9"/>
    <w:rsid w:val="688873A7"/>
    <w:rsid w:val="68D56706"/>
    <w:rsid w:val="692B4F84"/>
    <w:rsid w:val="6AE13342"/>
    <w:rsid w:val="6C902F90"/>
    <w:rsid w:val="6CF57BB8"/>
    <w:rsid w:val="6DE4380F"/>
    <w:rsid w:val="6DEE517B"/>
    <w:rsid w:val="6EFF1A40"/>
    <w:rsid w:val="769B15E3"/>
    <w:rsid w:val="77CA1B15"/>
    <w:rsid w:val="783E7AD6"/>
    <w:rsid w:val="7876404C"/>
    <w:rsid w:val="7F806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页脚 Char"/>
    <w:link w:val="5"/>
    <w:qFormat/>
    <w:uiPriority w:val="99"/>
    <w:rPr>
      <w:rFonts w:eastAsia="仿宋_GB2312"/>
      <w:kern w:val="2"/>
      <w:sz w:val="18"/>
      <w:szCs w:val="18"/>
    </w:rPr>
  </w:style>
  <w:style w:type="character" w:customStyle="1" w:styleId="14">
    <w:name w:val="批注框文本 Char"/>
    <w:basedOn w:val="10"/>
    <w:link w:val="4"/>
    <w:qFormat/>
    <w:uiPriority w:val="0"/>
    <w:rPr>
      <w:rFonts w:eastAsia="仿宋_GB2312"/>
      <w:kern w:val="2"/>
      <w:sz w:val="18"/>
      <w:szCs w:val="18"/>
    </w:rPr>
  </w:style>
  <w:style w:type="paragraph" w:customStyle="1" w:styleId="15">
    <w:name w:val="样式2"/>
    <w:basedOn w:val="1"/>
    <w:qFormat/>
    <w:uiPriority w:val="0"/>
    <w:pPr>
      <w:spacing w:line="600" w:lineRule="exact"/>
      <w:jc w:val="center"/>
    </w:pPr>
    <w:rPr>
      <w:rFonts w:ascii="Calibri" w:hAnsi="Calibri" w:eastAsia="方正小标宋简体"/>
      <w:sz w:val="44"/>
    </w:rPr>
  </w:style>
  <w:style w:type="character" w:customStyle="1" w:styleId="16">
    <w:name w:val="标题 1 Char"/>
    <w:basedOn w:val="10"/>
    <w:link w:val="2"/>
    <w:uiPriority w:val="0"/>
    <w:rPr>
      <w:rFonts w:ascii="Times New Roman" w:hAnsi="Times New Roman" w:eastAsia="仿宋_GB2312"/>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1687</Words>
  <Characters>9619</Characters>
  <Lines>80</Lines>
  <Paragraphs>22</Paragraphs>
  <TotalTime>7</TotalTime>
  <ScaleCrop>false</ScaleCrop>
  <LinksUpToDate>false</LinksUpToDate>
  <CharactersWithSpaces>11284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2019-05-22T02:52:00Z</dcterms:created>
  <dc:creator>科员01</dc:creator>
  <cp:lastModifiedBy>XuYJ1</cp:lastModifiedBy>
  <dcterms:modified xsi:type="dcterms:W3CDTF">2019-05-29T07:28:29Z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