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748"/>
        <w:gridCol w:w="7436"/>
        <w:gridCol w:w="2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4063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8"/>
              <w:ind w:left="0" w:firstLine="0" w:firstLineChars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附件</w:t>
            </w:r>
          </w:p>
          <w:p>
            <w:pPr>
              <w:pStyle w:val="8"/>
              <w:ind w:left="0" w:firstLine="0" w:firstLineChars="0"/>
              <w:rPr>
                <w:rFonts w:hint="eastAsia"/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  <w:r>
              <w:rPr>
                <w:rFonts w:hint="eastAsia"/>
                <w:kern w:val="0"/>
              </w:rPr>
              <w:t>2020年度战略性新兴产业专项资金绿色低碳扶持计划第二批资助项目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74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7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4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深圳市电科电源股份有限公司</w:t>
            </w:r>
          </w:p>
        </w:tc>
        <w:tc>
          <w:tcPr>
            <w:tcW w:w="7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磷酸铁锂宽温度范围动力电池产业链关键环节提升项目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145.0261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节能环保产业链关键环节提升扶持计划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深圳市同一方光电技术有限公司</w:t>
            </w:r>
          </w:p>
        </w:tc>
        <w:tc>
          <w:tcPr>
            <w:tcW w:w="7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基于光学镀膜材料真空保护耐热高光效COB封装关键技术产业化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169.1520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深圳市雨博士雨水利用设备有限公司</w:t>
            </w:r>
          </w:p>
        </w:tc>
        <w:tc>
          <w:tcPr>
            <w:tcW w:w="7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绿色节能型雨水系统设备的研发与产业化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66.8654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深圳市瑞丰光电子股份有限公司</w:t>
            </w:r>
          </w:p>
        </w:tc>
        <w:tc>
          <w:tcPr>
            <w:tcW w:w="7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高功率密度高光效LED照明产品研发及产业化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127.0050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深圳市华笙光电子有限公司</w:t>
            </w:r>
          </w:p>
        </w:tc>
        <w:tc>
          <w:tcPr>
            <w:tcW w:w="7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LED灯珠光质优化提升及产业化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79.1599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宏齐光电子（深圳）有限公司</w:t>
            </w:r>
          </w:p>
        </w:tc>
        <w:tc>
          <w:tcPr>
            <w:tcW w:w="7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交流覆晶高效节能LED COB模组核心技术研发与产业化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386.1930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504DB"/>
    <w:rsid w:val="2C6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黑体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2020-06-24T01:58:00Z</dcterms:created>
  <dc:creator>夏</dc:creator>
  <cp:lastModifiedBy>夏</cp:lastModifiedBy>
  <dcterms:modified xsi:type="dcterms:W3CDTF">2020-06-24T01:58:45Z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