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outlineLvl w:val="9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深圳市</w:t>
      </w:r>
      <w:r>
        <w:rPr>
          <w:rFonts w:hint="eastAsia" w:ascii="方正小标宋_GBK" w:eastAsia="方正小标宋_GBK"/>
          <w:color w:val="000000"/>
          <w:sz w:val="44"/>
          <w:szCs w:val="44"/>
        </w:rPr>
        <w:t>打造健康中国“深圳样板”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510" w:lineRule="exact"/>
        <w:jc w:val="center"/>
        <w:textAlignment w:val="auto"/>
        <w:outlineLvl w:val="9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实施意见指标体系</w:t>
      </w:r>
    </w:p>
    <w:bookmarkEnd w:id="0"/>
    <w:tbl>
      <w:tblPr>
        <w:tblStyle w:val="3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52"/>
        <w:gridCol w:w="3993"/>
        <w:gridCol w:w="1110"/>
        <w:gridCol w:w="1110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tblHeader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指标名称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2022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>2030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sz w:val="28"/>
                <w:szCs w:val="28"/>
              </w:rPr>
              <w:t>监测部门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水平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人均预期寿命（岁）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82.05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83.73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婴儿死亡率（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≤2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5岁以下儿童死亡率（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‰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≤2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≤2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孕产妇死亡率（1/10万）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≤5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城乡居民达到《国民体质测定标准》合格以上的人数比例（%）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≥90.86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≥92.17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国家学生体质健康标准达标优良率（%）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≥50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≥65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居民健康素养水平（%）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≥35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≥40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经常参加体育锻炼人数比例（%）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≥37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≥40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市文化广电旅游体育局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15岁以上人群吸烟率（%）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≤15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≤10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学生在校体育活动时间（小时/每天）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≥1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≥1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符合要求的中小学体育与健康教育课程开课率（%）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与保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障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每千常住人口执业医生数（人）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≥3.3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≥4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每万常住人口全科医生数（人）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≥4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≥6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个人卫生支出占卫生总费用的比重（%）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≤15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≤15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shd w:val="clear" w:color="auto" w:fill="FFFFFF"/>
              </w:rPr>
              <w:t>建立医疗机构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shd w:val="clear" w:color="auto" w:fill="FFFFFF"/>
              </w:rPr>
              <w:t>医务人员开展健康教育和健康促进的绩效考核机制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实现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－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居民电子健康档案建档率（%）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≥95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高血压患者规范管理率（%）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≥65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≥75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糖尿病患者规范管理率（%）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≥65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≥75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重点癌症筛查早诊率（%）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≥60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≥70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重大慢性病过早死亡率（％）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≤4.5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≤4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市卫生健康委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环境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空气质量优良天数比例（%）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≥97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地表水质量达到或好于Ⅲ类水体比例（%）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&gt;66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持续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改善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公园绿地服务半径覆盖率（％）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≥90.87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≥90.87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both"/>
              <w:textAlignment w:val="auto"/>
              <w:rPr>
                <w:rFonts w:ascii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 w:val="0"/>
                <w:bCs w:val="0"/>
                <w:color w:val="000000"/>
                <w:sz w:val="24"/>
                <w:szCs w:val="24"/>
              </w:rPr>
              <w:t>市城市管理和综合执法局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重点食品监测合格率（％）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≥97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≥98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药品评价性抽检合格率（％）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≥98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产业</w:t>
            </w:r>
          </w:p>
        </w:tc>
        <w:tc>
          <w:tcPr>
            <w:tcW w:w="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生物医药产业增加值（亿元）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Calibri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市发展改革委</w:t>
            </w:r>
          </w:p>
        </w:tc>
      </w:tr>
    </w:tbl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>
      <w:pPr>
        <w:spacing w:line="579" w:lineRule="exac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0464C"/>
    <w:rsid w:val="425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spacing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eastAsia="仿宋_GB2312" w:cs="宋体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2020-05-13T03:23:00Z</dcterms:created>
  <dc:creator>123456</dc:creator>
  <cp:lastModifiedBy>123456</cp:lastModifiedBy>
  <dcterms:modified xsi:type="dcterms:W3CDTF">2020-05-13T03:24:43Z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