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137"/>
        <w:gridCol w:w="6804"/>
        <w:gridCol w:w="2122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726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pStyle w:val="8"/>
              <w:ind w:left="0" w:firstLine="0" w:firstLineChars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附件</w:t>
            </w:r>
          </w:p>
          <w:p>
            <w:pPr>
              <w:pStyle w:val="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2020年度战略性新兴产业专项资金绿色低碳扶持计划</w:t>
            </w:r>
          </w:p>
          <w:p>
            <w:pPr>
              <w:pStyle w:val="2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</w:rPr>
              <w:t>第二批资助项目计划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新能源产业链关键环节提升扶持计划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3" w:hRule="atLeast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3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68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3" w:hRule="atLeast"/>
        </w:trPr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13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深圳市电科电源股份有限公司</w:t>
            </w:r>
          </w:p>
        </w:tc>
        <w:tc>
          <w:tcPr>
            <w:tcW w:w="6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磷酸铁锂宽温度范围动力电池产业链关键环节提升项目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145.0261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节能环保产业链关键环节提升扶持计划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深圳市同一方光电技术有限公司</w:t>
            </w:r>
          </w:p>
        </w:tc>
        <w:tc>
          <w:tcPr>
            <w:tcW w:w="6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基于光学镀膜材料真空保护耐热高光效COB封装关键技术产业化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169.1520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深圳市雨博士雨水利用设备有限公司</w:t>
            </w:r>
          </w:p>
        </w:tc>
        <w:tc>
          <w:tcPr>
            <w:tcW w:w="6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绿色节能型雨水系统设备的研发与产业化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66.8654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深圳市瑞丰光电子股份有限公司</w:t>
            </w:r>
          </w:p>
        </w:tc>
        <w:tc>
          <w:tcPr>
            <w:tcW w:w="6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高功率密度高光效LED照明产品研发及产业化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127.0050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深圳市华笙光电子有限公司</w:t>
            </w:r>
          </w:p>
        </w:tc>
        <w:tc>
          <w:tcPr>
            <w:tcW w:w="6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LED灯珠光质优化提升及产业化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79.1599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</w:trPr>
        <w:tc>
          <w:tcPr>
            <w:tcW w:w="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宏齐光电子（深圳）有限公司</w:t>
            </w:r>
          </w:p>
        </w:tc>
        <w:tc>
          <w:tcPr>
            <w:tcW w:w="6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交流覆晶高效节能LED COB模组核心技术研发与产业化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386.1930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31553"/>
    <w:rsid w:val="658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黑体"/>
    <w:basedOn w:val="1"/>
    <w:qFormat/>
    <w:uiPriority w:val="3"/>
    <w:pPr>
      <w:spacing w:line="540" w:lineRule="exact"/>
      <w:ind w:left="1014" w:hanging="1014" w:hangingChars="326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2020-06-15T03:40:00Z</dcterms:created>
  <dc:creator>夏</dc:creator>
  <cp:lastModifiedBy>夏</cp:lastModifiedBy>
  <dcterms:modified xsi:type="dcterms:W3CDTF">2020-06-15T03:41:22Z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