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81" w:rsidRDefault="00386181" w:rsidP="00386181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86181" w:rsidRDefault="00386181" w:rsidP="00386181"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386181" w:rsidRDefault="00386181" w:rsidP="0038618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对外投资统计年报系统操作指引</w:t>
      </w:r>
    </w:p>
    <w:bookmarkEnd w:id="0"/>
    <w:p w:rsidR="00386181" w:rsidRDefault="00386181" w:rsidP="0038618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一、“商务部业务系统统一平台”网站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https://ecomp.mofcom.gov.cn/loginCorp.html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二、系统操作路径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（一）对外投资统计年报/月报填报指引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1.登录系统并完善境内外企业信息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第一步：</w:t>
      </w:r>
      <w:r>
        <w:rPr>
          <w:rFonts w:ascii="仿宋_GB2312" w:eastAsia="仿宋_GB2312" w:hAnsi="仿宋" w:cs="Arial" w:hint="eastAsia"/>
          <w:color w:val="000000"/>
          <w:sz w:val="32"/>
          <w:szCs w:val="32"/>
        </w:rPr>
        <w:t>登录“商务部业务系统统一平台（企业端）”→点击“我的业务”下的“对外投资合作信息服务”进入应用→根据实际情况选择用户类型“非电子钥匙用户/电子钥匙用户”→在“统计类”项下点击“对外直接投资统计”</w:t>
      </w:r>
      <w:r>
        <w:rPr>
          <w:rFonts w:ascii="仿宋_GB2312" w:eastAsia="仿宋_GB2312" w:hAnsi="仿宋" w:cs="Arial" w:hint="eastAsia"/>
          <w:color w:val="FF0000"/>
          <w:sz w:val="32"/>
          <w:szCs w:val="32"/>
        </w:rPr>
        <w:t>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第二步：点击“境内投资者管理”和“境外企业管理”依次填写企业基本信息。（注：以往报送过对外投资统计年报的企业可直接跳过该步骤，从未报送的企业请先录入企业基本信息）。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Arial"/>
          <w:b/>
          <w:bCs/>
          <w:sz w:val="32"/>
          <w:szCs w:val="32"/>
        </w:rPr>
      </w:pPr>
      <w:r>
        <w:rPr>
          <w:rFonts w:ascii="仿宋_GB2312" w:eastAsia="仿宋_GB2312" w:hAnsi="仿宋" w:cs="Arial" w:hint="eastAsia"/>
          <w:b/>
          <w:bCs/>
          <w:sz w:val="32"/>
          <w:szCs w:val="32"/>
        </w:rPr>
        <w:t>2.填报路径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（1）年报填写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第一步：点击“年报信息管理”→选择境外企业→开始填报信息。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第二步：选择需要填写的报表点击“新增”，填报数据完毕并确认数据无误后，请点击“上报”。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lastRenderedPageBreak/>
        <w:t>（2）月报填写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第一步：点击“月报信息管理”→选择境外企业→开始填报信息。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第二步：选择境外企业后，点击“新增”，填报数据完毕并确认数据无误后，请点击“上报”。</w:t>
      </w:r>
    </w:p>
    <w:p w:rsidR="00386181" w:rsidRDefault="00386181" w:rsidP="0038618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对外投资统计半年报填报指引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FF0000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第一步：</w:t>
      </w:r>
      <w:r>
        <w:rPr>
          <w:rFonts w:ascii="仿宋_GB2312" w:eastAsia="仿宋_GB2312" w:hAnsi="仿宋" w:cs="Arial" w:hint="eastAsia"/>
          <w:color w:val="000000"/>
          <w:sz w:val="32"/>
          <w:szCs w:val="32"/>
        </w:rPr>
        <w:t>登录“商务部业务系统统一平台（企业端）”→点击“我的业务”下的“对外投资合作信息服务”进入应用→根据实际情况选择用户类型“非电子钥匙用户/电子钥匙用户”→在“业务类”项下点击“备案（核准）报告”</w:t>
      </w:r>
      <w:r>
        <w:rPr>
          <w:rFonts w:ascii="仿宋_GB2312" w:eastAsia="仿宋_GB2312" w:hAnsi="仿宋" w:cs="Arial" w:hint="eastAsia"/>
          <w:color w:val="FF0000"/>
          <w:sz w:val="32"/>
          <w:szCs w:val="32"/>
        </w:rPr>
        <w:t>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FF0000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第二步：点击“备案（核准）报告”</w:t>
      </w:r>
      <w:r>
        <w:rPr>
          <w:rFonts w:ascii="仿宋_GB2312" w:eastAsia="仿宋_GB2312" w:hAnsi="仿宋" w:cs="Arial" w:hint="eastAsia"/>
          <w:color w:val="000000"/>
          <w:sz w:val="32"/>
          <w:szCs w:val="32"/>
        </w:rPr>
        <w:t>→半年报</w:t>
      </w:r>
      <w:r>
        <w:rPr>
          <w:rFonts w:ascii="仿宋_GB2312" w:eastAsia="仿宋_GB2312" w:hAnsi="仿宋" w:cs="Arial" w:hint="eastAsia"/>
          <w:sz w:val="32"/>
          <w:szCs w:val="32"/>
        </w:rPr>
        <w:t>→填报。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第三步：选择境外企业后点击“合规情况报告”“障碍情况报告”“经营情况报告”或“合作区情况报告”进行填报，均填报完成并确认数据无误后，请点击“上报”。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仿宋" w:cs="Arial"/>
          <w:sz w:val="32"/>
          <w:szCs w:val="32"/>
        </w:rPr>
      </w:pPr>
      <w:r>
        <w:rPr>
          <w:rFonts w:ascii="黑体" w:eastAsia="黑体" w:hAnsi="仿宋" w:cs="Arial" w:hint="eastAsia"/>
          <w:sz w:val="32"/>
          <w:szCs w:val="32"/>
        </w:rPr>
        <w:t>三、需填报的年报统计报表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一）境内投资者基本情况表（FDIN1表）：集团公司填写合并报表数据（如反映A集团公司作为投资主体的财务状况的年报表应为合并报表数据）；若A集团下属相关B公司也有对外投资行为，则该B企业不需要填报此表。但A集团公司作为投资主体无对外投资，而B公司作为投资主体实施了对外投资，则B公司需要填写此表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（二）境外企业年度基本情况表（FDIN2表）：由境内投</w:t>
      </w:r>
      <w:r>
        <w:rPr>
          <w:rFonts w:ascii="仿宋_GB2312" w:eastAsia="仿宋_GB2312" w:hAnsi="仿宋" w:cs="Arial" w:hint="eastAsia"/>
          <w:sz w:val="32"/>
          <w:szCs w:val="32"/>
        </w:rPr>
        <w:lastRenderedPageBreak/>
        <w:t>资者填报其所拥有的中方控股在50%以上境外企业（包括金融业）的基本情况和经营活动情况，若中方控股在50%以上的境外企业由多家境内投资者构成，则由中方持股比例最大的境内投资者填报。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（三）对外直接投资流量、存量情况表（FDIN3表）：反映报告年度境内投资者与其拥有的各境外企业（中方持股≥10%）之间的投资往来情况。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color w:val="FF0000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（四）成员企业间债务工具情况（FDIN4表）：有对境外成员企业提供贷款的企业报送。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（五）境外企业返程投资情况（FDIN5表）：有通过首个投资目的地企业再投资回中国内地并持股在10%以上的企业主体填报。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（六）境内投资者通过境外企业再投资情况（FDIN6表）：有通过境外企业再投资活动的主体填报，表中左列境外企业或项目指投资最终目的地相应的企业和项目。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（七）境外主要矿产资源情况（FDIN7表）：在国（境）外拥有能源矿产、金属矿产、非金属矿产的主体填报，按最终控制资源的境外企业填报。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（八）主要国际产能合作领域情况（FDIN8表）：境外企业有涉及钢铁、水泥、平板玻璃、电力、汽车生产且中方持股比例在10%及以上的主体填报，按最终设立以上形态的境外企业填报。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注：报表点击上报后将无法进行修改，若需修改请联系承办单位进行退回。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 w:cs="Arial"/>
          <w:sz w:val="32"/>
          <w:szCs w:val="32"/>
        </w:rPr>
      </w:pPr>
      <w:r>
        <w:rPr>
          <w:rFonts w:ascii="黑体" w:eastAsia="黑体" w:hAnsi="仿宋" w:cs="Arial" w:hint="eastAsia"/>
          <w:sz w:val="32"/>
          <w:szCs w:val="32"/>
        </w:rPr>
        <w:lastRenderedPageBreak/>
        <w:t>四、需填报的月报统计报表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凡有以下投资合作的企业除了年报管理报表，还需填报“月报信息管理”中的相关月度报表：</w:t>
      </w:r>
    </w:p>
    <w:p w:rsidR="00386181" w:rsidRDefault="00386181" w:rsidP="00386181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当月有实际对外投资的，需要填报“月报信息管理”中的“境外企业月报管理”；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（二）当月有再投资行为的，需要点击“月报信息管理”中的“境外企业月报管理”，选择相应的境外企业，填报“再投资月报管理”；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（三）当月有已完成交割的并购项目的，需要填报“月报信息管理”中的“并购项目月报管理”；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（四）有境外经贸合作区的企业，需要填报“月报信息管理”中的“合作区月报管理”；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（五）境外有农业合作项目的，需要填报“月报信息管理”中的“农业合作月报管理”；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（六）当月有通过境外企业带动中国大陆货物进出口的，需要填报“月报信息管理”中的“进出口月报管理”。</w:t>
      </w:r>
    </w:p>
    <w:p w:rsidR="00386181" w:rsidRDefault="00386181" w:rsidP="0038618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 w:cs="Arial"/>
          <w:sz w:val="32"/>
          <w:szCs w:val="32"/>
        </w:rPr>
      </w:pPr>
      <w:r>
        <w:rPr>
          <w:rFonts w:ascii="黑体" w:eastAsia="黑体" w:hAnsi="仿宋" w:cs="Arial" w:hint="eastAsia"/>
          <w:sz w:val="32"/>
          <w:szCs w:val="32"/>
        </w:rPr>
        <w:t>五、需填报的半年度报表</w:t>
      </w:r>
    </w:p>
    <w:p w:rsidR="00386181" w:rsidRDefault="00386181" w:rsidP="00386181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凡是在商务部和省级商务主管部门取得《企业境外投资证书》并开展对外投资活动的境内投资主体需要填报“半年报”中的相关报表：</w:t>
      </w:r>
    </w:p>
    <w:p w:rsidR="00386181" w:rsidRDefault="00386181" w:rsidP="00386181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（一）合规情况报告：需要投资主体反映报告期内境外企业的合规建设情况；</w:t>
      </w:r>
    </w:p>
    <w:p w:rsidR="00386181" w:rsidRDefault="00386181" w:rsidP="00386181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t>（二）障碍情况报告：需要投资主体反映报告期内境外企业所遇到投资障碍的情况；</w:t>
      </w:r>
    </w:p>
    <w:p w:rsidR="00386181" w:rsidRDefault="00386181" w:rsidP="00386181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sz w:val="32"/>
          <w:szCs w:val="32"/>
        </w:rPr>
        <w:lastRenderedPageBreak/>
        <w:t>（三）经营情况报告：经商务主管部门备案（核准）中方投资额在1亿美元及以上且中方实际控制的境外企业，投资主体应每半年进行报送。去反映报告期内境外企业的基本经营情况；</w:t>
      </w:r>
    </w:p>
    <w:p w:rsidR="00E844B6" w:rsidRDefault="00386181" w:rsidP="00386181">
      <w:r>
        <w:rPr>
          <w:rFonts w:ascii="仿宋_GB2312" w:eastAsia="仿宋_GB2312" w:hAnsi="仿宋" w:cs="Arial" w:hint="eastAsia"/>
          <w:sz w:val="32"/>
          <w:szCs w:val="32"/>
        </w:rPr>
        <w:t>（四）合作区情况报告：通过商务部、财政部考核的境外经贸合作区，实施企业作为投资主体需填报合作区情况报告。</w:t>
      </w:r>
      <w:r>
        <w:br w:type="page"/>
      </w:r>
    </w:p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57" w:rsidRDefault="00C72757" w:rsidP="00386181">
      <w:r>
        <w:separator/>
      </w:r>
    </w:p>
  </w:endnote>
  <w:endnote w:type="continuationSeparator" w:id="0">
    <w:p w:rsidR="00C72757" w:rsidRDefault="00C72757" w:rsidP="003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57" w:rsidRDefault="00C72757" w:rsidP="00386181">
      <w:r>
        <w:separator/>
      </w:r>
    </w:p>
  </w:footnote>
  <w:footnote w:type="continuationSeparator" w:id="0">
    <w:p w:rsidR="00C72757" w:rsidRDefault="00C72757" w:rsidP="0038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4C248"/>
    <w:multiLevelType w:val="singleLevel"/>
    <w:tmpl w:val="5624C24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28C6A22"/>
    <w:multiLevelType w:val="singleLevel"/>
    <w:tmpl w:val="628C6A2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5E"/>
    <w:rsid w:val="00386181"/>
    <w:rsid w:val="00460F5E"/>
    <w:rsid w:val="007B5D01"/>
    <w:rsid w:val="00B201E9"/>
    <w:rsid w:val="00C7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AD4FC5-32B7-42E1-97AB-21925BE5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2020-05-18T03:20:00Z</dcterms:created>
  <dcterms:modified xsi:type="dcterms:W3CDTF">2020-05-18T03:20:00Z</dcterms:modified>
</cp:coreProperties>
</file>