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</w:p>
    <w:p>
      <w:pPr>
        <w:spacing w:before="156" w:beforeLines="50" w:line="0" w:lineRule="atLeas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深圳市打造健康中国“深圳样板”</w:t>
      </w:r>
    </w:p>
    <w:p>
      <w:pPr>
        <w:spacing w:after="156" w:afterLines="50" w:line="0" w:lineRule="atLeast"/>
        <w:jc w:val="center"/>
        <w:rPr>
          <w:rFonts w:hint="eastAsia" w:ascii="宋体" w:hAnsi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6"/>
          <w:szCs w:val="36"/>
        </w:rPr>
        <w:t>实施意见指标体系</w:t>
      </w:r>
    </w:p>
    <w:tbl>
      <w:tblPr>
        <w:tblStyle w:val="3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97"/>
        <w:gridCol w:w="4109"/>
        <w:gridCol w:w="798"/>
        <w:gridCol w:w="87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  <w:t>指标类别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  <w:t>指标名称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2022</w:t>
            </w:r>
            <w:r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  <w:t>年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2030</w:t>
            </w:r>
            <w:r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  <w:t>年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color w:val="000000"/>
                <w:szCs w:val="21"/>
              </w:rPr>
              <w:t>监测部门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健康水平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人均预期寿命（岁）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82.05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83.73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婴儿死亡率（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‰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≤2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5岁以下儿童死亡率（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‰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≤2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≤2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孕产妇死亡率（1/10万）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城乡居民达到《国民体质测定标准》合格以上的人数比例（%）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≥90.86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≥92.17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国家学生体质健康标准达标优良率（%）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≥50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≥65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健康生活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居民健康素养水平（%）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≥35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≥40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经常参加体育锻炼人数比例（%）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≥37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≥40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市文化广电旅游体育局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15岁以上人群吸烟率（%）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≤15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≤10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学生在校体育活动时间（小时/每天）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≥1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≥1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符合要求的中小学体育与健康教育课程开课率（%）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健康服务与保障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每千常住人口执业医生数（人）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≥3.3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≥4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每万常住人口全科医生数（人）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≥4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≥6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个人卫生支出占卫生总费用的比重（%）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≤15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≤15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建立医疗机构及医务人员开展健康教育和健康促进的绩效考核机制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实现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居民电子健康档案建档率（%）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高血压患者规范管理率（%）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≥65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≥75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糖尿病患者规范管理率（%）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≥65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≥75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重点癌症筛查早诊率（%）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≥60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≥70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重大慢性病过早死亡率（%）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≤4.5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≤4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健康环境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空气质量优良天数比例（%）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≥95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≥97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地表水质量达到或好于Ⅲ类水体比例（%）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＞66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持续改善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公园绿地服务半径覆盖率（%）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≥90.87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≥90.87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 w:line="320" w:lineRule="exact"/>
              <w:ind w:left="-63" w:leftChars="-30" w:right="-63" w:rightChars="-30" w:firstLine="0" w:firstLineChars="0"/>
              <w:jc w:val="both"/>
              <w:outlineLvl w:val="9"/>
              <w:rPr>
                <w:rFonts w:ascii="宋体" w:hAnsi="宋体" w:eastAsia="宋体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 w:val="0"/>
                <w:color w:val="000000"/>
                <w:sz w:val="21"/>
                <w:szCs w:val="21"/>
              </w:rPr>
              <w:t>市城市管理和综合执法局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24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重点食品监测合格率（%）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≥98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药品评价性抽检合格率（%）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≥98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健康产业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生物医药产业增加值（亿元）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600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2600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市发展改革委</w:t>
            </w:r>
          </w:p>
        </w:tc>
      </w:tr>
    </w:tbl>
    <w:p>
      <w:pPr>
        <w:spacing w:line="400" w:lineRule="atLeast"/>
        <w:ind w:firstLine="480" w:firstLineChars="200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3791E"/>
    <w:rsid w:val="594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120" w:after="120" w:line="360" w:lineRule="auto"/>
      <w:ind w:firstLine="200" w:firstLineChars="200"/>
      <w:jc w:val="left"/>
      <w:outlineLvl w:val="1"/>
    </w:pPr>
    <w:rPr>
      <w:rFonts w:ascii="Cambria" w:hAnsi="Cambria" w:eastAsia="仿宋"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2020-05-14T03:13:00Z</dcterms:created>
  <dc:creator>Jus</dc:creator>
  <cp:lastModifiedBy>Jus</cp:lastModifiedBy>
  <dcterms:modified xsi:type="dcterms:W3CDTF">2020-05-14T03:13:46Z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