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附件2</w:t>
      </w:r>
    </w:p>
    <w:p>
      <w:pPr>
        <w:spacing w:line="0" w:lineRule="atLeast"/>
        <w:jc w:val="center"/>
        <w:rPr>
          <w:rFonts w:hint="eastAsia" w:ascii="宋体" w:hAnsi="宋体"/>
          <w:sz w:val="36"/>
          <w:szCs w:val="36"/>
        </w:rPr>
      </w:pPr>
      <w:r>
        <w:rPr>
          <w:rFonts w:hint="eastAsia" w:ascii="宋体" w:hAnsi="宋体"/>
          <w:sz w:val="36"/>
          <w:szCs w:val="36"/>
        </w:rPr>
        <w:t>深圳市生物医药产业发展行动计划</w:t>
      </w:r>
    </w:p>
    <w:p>
      <w:pPr>
        <w:spacing w:line="0" w:lineRule="atLeast"/>
        <w:jc w:val="center"/>
        <w:rPr>
          <w:rFonts w:hint="eastAsia" w:ascii="宋体" w:hAnsi="宋体"/>
          <w:sz w:val="36"/>
          <w:szCs w:val="36"/>
        </w:rPr>
      </w:pPr>
      <w:r>
        <w:rPr>
          <w:rFonts w:hint="eastAsia" w:ascii="宋体" w:hAnsi="宋体"/>
          <w:sz w:val="36"/>
          <w:szCs w:val="36"/>
        </w:rPr>
        <w:t>（2020－2025年）</w:t>
      </w:r>
    </w:p>
    <w:p>
      <w:pPr>
        <w:spacing w:before="156" w:beforeLines="50" w:line="384" w:lineRule="atLeast"/>
        <w:ind w:firstLine="480" w:firstLineChars="200"/>
        <w:rPr>
          <w:rFonts w:hint="eastAsia" w:ascii="宋体" w:hAnsi="宋体"/>
          <w:sz w:val="24"/>
          <w:szCs w:val="24"/>
        </w:rPr>
      </w:pPr>
      <w:r>
        <w:rPr>
          <w:rFonts w:hint="eastAsia" w:ascii="宋体" w:hAnsi="宋体"/>
          <w:sz w:val="24"/>
          <w:szCs w:val="24"/>
        </w:rPr>
        <w:t>为进一步落实《国务院办公厅关于促进医药产业健康发展的指导意见》（国办发〔2016〕11号）、《深圳市关于进一步加快发展战略性新兴产业的实施方案》（深府〔2018〕84号）等文件精神，充分利用粤港澳大湾区科技创新资源和产业集聚配套等政策环境优势，抢占新一轮生物科技革命制高点，建设国际领先的生物医药科技中心和产业中心，特制定本行动计划。</w:t>
      </w:r>
    </w:p>
    <w:p>
      <w:pPr>
        <w:spacing w:line="384" w:lineRule="atLeast"/>
        <w:ind w:firstLine="480" w:firstLineChars="200"/>
        <w:rPr>
          <w:rFonts w:hint="eastAsia" w:ascii="黑体" w:hAnsi="宋体" w:eastAsia="黑体"/>
          <w:sz w:val="24"/>
          <w:szCs w:val="24"/>
        </w:rPr>
      </w:pPr>
      <w:r>
        <w:rPr>
          <w:rFonts w:hint="eastAsia" w:ascii="黑体" w:hAnsi="宋体" w:eastAsia="黑体"/>
          <w:sz w:val="24"/>
          <w:szCs w:val="24"/>
        </w:rPr>
        <w:t>一、加快基础设施建设，加强原始创新</w:t>
      </w:r>
    </w:p>
    <w:p>
      <w:pPr>
        <w:spacing w:after="156" w:afterLines="50" w:line="384" w:lineRule="atLeast"/>
        <w:ind w:firstLine="480" w:firstLineChars="200"/>
        <w:rPr>
          <w:rFonts w:hint="eastAsia" w:ascii="宋体" w:hAnsi="宋体"/>
          <w:sz w:val="24"/>
          <w:szCs w:val="24"/>
        </w:rPr>
      </w:pPr>
      <w:r>
        <w:rPr>
          <w:rFonts w:hint="eastAsia" w:ascii="宋体" w:hAnsi="宋体"/>
          <w:sz w:val="24"/>
          <w:szCs w:val="24"/>
        </w:rPr>
        <w:t>针对基础研究环节薄弱的痛点问题，依托我市高等院校、科研机构及光明科学城重点区域集聚全球顶尖科学团队，在合成生物学、脑科学、生物医学大数据等领域加快建设重大科技基础设施，重点支持上述领域基础研究，提升探索未知世界、发现自然规律、实现科技变革的能力，引领原始技术创新突破。（责任单位：市发展改革委、市科技创新委、市工业和信息化局、市财政局、市卫生健康委，各区）</w:t>
      </w:r>
    </w:p>
    <w:tbl>
      <w:tblPr>
        <w:tblStyle w:val="3"/>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5"/>
              <w:overflowPunct w:val="0"/>
              <w:spacing w:before="62" w:beforeLines="20" w:after="62" w:afterLines="20" w:line="0" w:lineRule="atLeast"/>
              <w:ind w:firstLine="0" w:firstLineChars="0"/>
              <w:jc w:val="center"/>
              <w:rPr>
                <w:rFonts w:hint="eastAsia" w:ascii="黑体" w:hAnsi="宋体" w:eastAsia="黑体" w:cs="Calibri"/>
                <w:sz w:val="21"/>
                <w:szCs w:val="21"/>
              </w:rPr>
            </w:pPr>
            <w:r>
              <w:rPr>
                <w:rFonts w:hint="eastAsia" w:ascii="黑体" w:hAnsi="宋体" w:eastAsia="黑体" w:cs="楷体_GB2312"/>
                <w:kern w:val="0"/>
                <w:sz w:val="21"/>
                <w:szCs w:val="21"/>
              </w:rPr>
              <w:t>专栏1  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5"/>
              <w:overflowPunct w:val="0"/>
              <w:spacing w:line="312" w:lineRule="exact"/>
              <w:ind w:left="-42" w:leftChars="-20" w:right="-42" w:rightChars="-20" w:firstLine="420"/>
              <w:rPr>
                <w:rFonts w:ascii="宋体" w:hAnsi="宋体" w:eastAsia="宋体" w:cs="Calibri"/>
                <w:sz w:val="21"/>
                <w:szCs w:val="21"/>
              </w:rPr>
            </w:pPr>
            <w:r>
              <w:rPr>
                <w:rFonts w:ascii="宋体" w:hAnsi="宋体" w:eastAsia="宋体" w:cs="Calibri"/>
                <w:sz w:val="21"/>
                <w:szCs w:val="21"/>
              </w:rPr>
              <w:t>（1）推动合成生物研究重大科技基础设施建设。依托中国科学院深圳先进技术研究院、深圳市第二人民医院、华大生命科学研究院开展合成生物重大科技基础设施项目研究，探究合成生物诊疗的设计和构建原理，重点突破元件与线路的高通量自动化构建方法。建立医用基因线路功能的体外和体内评价体系，发展原创的工程菌改造、工程细胞改造、菌群定向干预技术，实现对恶性肿瘤、代谢疾病、耐药菌感染等重大疾病的甄别、预防和治疗，提高全民健康水平。</w:t>
            </w:r>
          </w:p>
          <w:p>
            <w:pPr>
              <w:pStyle w:val="5"/>
              <w:overflowPunct w:val="0"/>
              <w:spacing w:line="312" w:lineRule="exact"/>
              <w:ind w:left="-42" w:leftChars="-20" w:right="-42" w:rightChars="-20" w:firstLine="420"/>
              <w:rPr>
                <w:rFonts w:ascii="宋体" w:hAnsi="宋体" w:eastAsia="宋体" w:cs="Calibri"/>
                <w:sz w:val="21"/>
                <w:szCs w:val="21"/>
              </w:rPr>
            </w:pPr>
            <w:r>
              <w:rPr>
                <w:rFonts w:ascii="宋体" w:hAnsi="宋体" w:eastAsia="宋体" w:cs="Calibri"/>
                <w:sz w:val="21"/>
                <w:szCs w:val="21"/>
              </w:rPr>
              <w:t>（2）推动脑解析与脑模拟重大科技基础设施建设。依托中国科学院深圳先进技术研究院、南方科技大学、香港科技大学深圳研究院、深圳市神经科学研究院和北京大学深圳研究生院开展脑解析与脑模拟重大科技基础设施项目研究，围绕重大脑疾病发生和干预神经机制、神经系统疾病发生机制和干预机理等核心问题，建设国际领先的脑功能、脑疾病基础与应用转化研究设施平台、类脑智能技术及应用国家工程实验室分中心，推动脑科学研究技术领域实现跨越式发展。</w:t>
            </w:r>
          </w:p>
          <w:p>
            <w:pPr>
              <w:pStyle w:val="5"/>
              <w:overflowPunct w:val="0"/>
              <w:spacing w:line="312" w:lineRule="exact"/>
              <w:ind w:left="-42" w:leftChars="-20" w:right="-42" w:rightChars="-20" w:firstLine="420"/>
              <w:rPr>
                <w:rFonts w:ascii="宋体" w:hAnsi="宋体" w:eastAsia="宋体" w:cs="Calibri"/>
                <w:sz w:val="21"/>
                <w:szCs w:val="21"/>
              </w:rPr>
            </w:pPr>
            <w:r>
              <w:rPr>
                <w:rFonts w:ascii="宋体" w:hAnsi="宋体" w:eastAsia="宋体" w:cs="Calibri"/>
                <w:sz w:val="21"/>
                <w:szCs w:val="21"/>
              </w:rPr>
              <w:t>（3）推动国家基因库二期建设。依托华大生命科学研究院</w:t>
            </w:r>
            <w:r>
              <w:rPr>
                <w:rFonts w:ascii="宋体" w:hAnsi="宋体" w:eastAsia="宋体" w:cs="Calibri"/>
                <w:color w:val="000000"/>
                <w:sz w:val="21"/>
                <w:szCs w:val="21"/>
              </w:rPr>
              <w:t>推进国家基因库“三库两平台”建设，</w:t>
            </w:r>
            <w:r>
              <w:rPr>
                <w:rFonts w:ascii="宋体" w:hAnsi="宋体" w:eastAsia="宋体" w:cs="Calibri"/>
                <w:sz w:val="21"/>
                <w:szCs w:val="21"/>
              </w:rPr>
              <w:t>提升生物资源样本的存储能力和服务水平，达到2000万份可溯源样本存储能力和100PB数据存储能力，新增读、写平台，形成100PB/年的基因组数据产出能力和千万级碱基/年的合成产出能力，形成支撑科研、产业、民生的公益性和开放性国家级平台。</w:t>
            </w:r>
          </w:p>
          <w:p>
            <w:pPr>
              <w:pStyle w:val="5"/>
              <w:overflowPunct w:val="0"/>
              <w:spacing w:line="312" w:lineRule="exact"/>
              <w:ind w:left="-42" w:leftChars="-20" w:right="-42" w:rightChars="-20" w:firstLine="420"/>
              <w:rPr>
                <w:rFonts w:ascii="宋体" w:hAnsi="宋体" w:eastAsia="宋体" w:cs="Calibri"/>
                <w:sz w:val="21"/>
                <w:szCs w:val="21"/>
              </w:rPr>
            </w:pPr>
            <w:r>
              <w:rPr>
                <w:rFonts w:ascii="宋体" w:hAnsi="宋体" w:eastAsia="宋体" w:cs="Calibri"/>
                <w:sz w:val="21"/>
                <w:szCs w:val="21"/>
              </w:rPr>
              <w:t>（4）筹划生物医学大数据基础设施建设。围绕生命科学、医疗卫生、健康产业对大数据处理与智能分析的共性需求，突破健康大数据高性能处理、融合分析、智能挖掘、创新应用等关键技术</w:t>
            </w:r>
            <w:r>
              <w:rPr>
                <w:rFonts w:hint="eastAsia" w:ascii="宋体" w:hAnsi="宋体" w:eastAsia="宋体" w:cs="Calibri"/>
                <w:sz w:val="21"/>
                <w:szCs w:val="21"/>
              </w:rPr>
              <w:t>，</w:t>
            </w:r>
            <w:r>
              <w:rPr>
                <w:rFonts w:ascii="宋体" w:hAnsi="宋体" w:eastAsia="宋体" w:cs="Calibri"/>
                <w:sz w:val="21"/>
                <w:szCs w:val="21"/>
              </w:rPr>
              <w:t>在保护个人隐私和符合伦理要求的前提下，实现医院信息系统、实验室信息系统、电子病历系统、医院资源规划、影像归档和通信系统不同单位间的互联互通，打造健康惠民的生物医学大数据设施</w:t>
            </w:r>
            <w:r>
              <w:rPr>
                <w:rFonts w:hint="eastAsia" w:ascii="宋体" w:hAnsi="宋体" w:eastAsia="宋体" w:cs="Calibri"/>
                <w:sz w:val="21"/>
                <w:szCs w:val="21"/>
              </w:rPr>
              <w:t>。</w:t>
            </w:r>
          </w:p>
        </w:tc>
      </w:tr>
    </w:tbl>
    <w:p>
      <w:pPr>
        <w:overflowPunct w:val="0"/>
        <w:spacing w:before="93" w:beforeLines="30" w:line="410" w:lineRule="atLeast"/>
        <w:ind w:firstLine="480" w:firstLineChars="200"/>
        <w:rPr>
          <w:rFonts w:hint="eastAsia" w:ascii="黑体" w:hAnsi="宋体" w:eastAsia="黑体" w:cs="黑体"/>
          <w:color w:val="000000"/>
          <w:sz w:val="24"/>
          <w:szCs w:val="24"/>
        </w:rPr>
      </w:pPr>
      <w:r>
        <w:rPr>
          <w:rFonts w:hint="eastAsia" w:ascii="黑体" w:hAnsi="宋体" w:eastAsia="黑体" w:cs="黑体"/>
          <w:color w:val="000000"/>
          <w:sz w:val="24"/>
          <w:szCs w:val="24"/>
        </w:rPr>
        <w:t>二、推进创新体系建设，提升产业动能</w:t>
      </w:r>
    </w:p>
    <w:p>
      <w:pPr>
        <w:pStyle w:val="5"/>
        <w:overflowPunct w:val="0"/>
        <w:spacing w:after="156" w:afterLines="50" w:line="410" w:lineRule="atLeast"/>
        <w:ind w:firstLine="480"/>
        <w:rPr>
          <w:rFonts w:ascii="宋体" w:hAnsi="宋体" w:eastAsia="宋体"/>
          <w:sz w:val="24"/>
          <w:szCs w:val="24"/>
        </w:rPr>
      </w:pPr>
      <w:r>
        <w:rPr>
          <w:rFonts w:hint="eastAsia" w:ascii="宋体" w:hAnsi="宋体" w:eastAsia="宋体"/>
          <w:sz w:val="24"/>
          <w:szCs w:val="24"/>
        </w:rPr>
        <w:t>依托高等院校、医疗机构和龙头企业构建一批多层次、高水平的创新载体，积极争取布局建设国家、省市级重点实验室，提升科学研究水平，加强产业创新能力、促进科研成果转化；培养一批产业领军人才，打造高素质人才队伍，建设产业人才高端智库，完善产业生态支撑体系，提升产业创新动能，探索在粤港澳大湾区内实现科教研资源共建共享，打造粤港澳大湾区创新高地。（责任单位：市科技创新委、</w:t>
      </w:r>
      <w:r>
        <w:rPr>
          <w:rFonts w:hint="eastAsia" w:ascii="宋体" w:hAnsi="宋体" w:eastAsia="宋体" w:cs="楷体"/>
          <w:color w:val="000000"/>
          <w:sz w:val="24"/>
          <w:szCs w:val="24"/>
        </w:rPr>
        <w:t>市</w:t>
      </w:r>
      <w:r>
        <w:rPr>
          <w:rFonts w:hint="eastAsia" w:ascii="宋体" w:hAnsi="宋体" w:eastAsia="宋体"/>
          <w:sz w:val="24"/>
          <w:szCs w:val="24"/>
        </w:rPr>
        <w:t>发展改革委、</w:t>
      </w:r>
      <w:r>
        <w:rPr>
          <w:rFonts w:hint="eastAsia" w:ascii="宋体" w:hAnsi="宋体" w:eastAsia="宋体" w:cs="楷体"/>
          <w:color w:val="000000"/>
          <w:sz w:val="24"/>
          <w:szCs w:val="24"/>
        </w:rPr>
        <w:t>市</w:t>
      </w:r>
      <w:r>
        <w:rPr>
          <w:rFonts w:hint="eastAsia" w:ascii="宋体" w:hAnsi="宋体" w:eastAsia="宋体"/>
          <w:sz w:val="24"/>
          <w:szCs w:val="24"/>
        </w:rPr>
        <w:t>教育局、</w:t>
      </w:r>
      <w:r>
        <w:rPr>
          <w:rFonts w:hint="eastAsia" w:ascii="宋体" w:hAnsi="宋体" w:eastAsia="宋体" w:cs="楷体"/>
          <w:color w:val="000000"/>
          <w:sz w:val="24"/>
          <w:szCs w:val="24"/>
        </w:rPr>
        <w:t>市</w:t>
      </w:r>
      <w:r>
        <w:rPr>
          <w:rFonts w:hint="eastAsia" w:ascii="宋体" w:hAnsi="宋体" w:eastAsia="宋体"/>
          <w:sz w:val="24"/>
          <w:szCs w:val="24"/>
        </w:rPr>
        <w:t>卫生健康委、</w:t>
      </w:r>
      <w:r>
        <w:rPr>
          <w:rFonts w:hint="eastAsia" w:ascii="宋体" w:hAnsi="宋体" w:eastAsia="宋体" w:cs="楷体"/>
          <w:color w:val="000000"/>
          <w:sz w:val="24"/>
          <w:szCs w:val="24"/>
        </w:rPr>
        <w:t>市</w:t>
      </w:r>
      <w:r>
        <w:rPr>
          <w:rFonts w:hint="eastAsia" w:ascii="宋体" w:hAnsi="宋体" w:eastAsia="宋体"/>
          <w:sz w:val="24"/>
          <w:szCs w:val="24"/>
        </w:rPr>
        <w:t>工业和信息化局、</w:t>
      </w:r>
      <w:r>
        <w:rPr>
          <w:rFonts w:hint="eastAsia" w:ascii="宋体" w:hAnsi="宋体" w:eastAsia="宋体" w:cs="楷体"/>
          <w:color w:val="000000"/>
          <w:sz w:val="24"/>
          <w:szCs w:val="24"/>
        </w:rPr>
        <w:t>市</w:t>
      </w:r>
      <w:r>
        <w:rPr>
          <w:rFonts w:hint="eastAsia" w:ascii="宋体" w:hAnsi="宋体" w:eastAsia="宋体"/>
          <w:sz w:val="24"/>
          <w:szCs w:val="24"/>
        </w:rPr>
        <w:t>市场监管局、</w:t>
      </w:r>
      <w:r>
        <w:rPr>
          <w:rFonts w:hint="eastAsia" w:ascii="宋体" w:hAnsi="宋体" w:eastAsia="宋体" w:cs="楷体"/>
          <w:color w:val="000000"/>
          <w:sz w:val="24"/>
          <w:szCs w:val="24"/>
        </w:rPr>
        <w:t>市</w:t>
      </w:r>
      <w:r>
        <w:rPr>
          <w:rFonts w:hint="eastAsia" w:ascii="宋体" w:hAnsi="宋体" w:eastAsia="宋体"/>
          <w:sz w:val="24"/>
          <w:szCs w:val="24"/>
        </w:rPr>
        <w:t>财政局、</w:t>
      </w:r>
      <w:r>
        <w:rPr>
          <w:rFonts w:hint="eastAsia" w:ascii="宋体" w:hAnsi="宋体" w:eastAsia="宋体" w:cs="楷体"/>
          <w:color w:val="000000"/>
          <w:sz w:val="24"/>
          <w:szCs w:val="24"/>
        </w:rPr>
        <w:t>市</w:t>
      </w:r>
      <w:r>
        <w:rPr>
          <w:rFonts w:hint="eastAsia" w:ascii="宋体" w:hAnsi="宋体" w:eastAsia="宋体"/>
          <w:sz w:val="24"/>
          <w:szCs w:val="24"/>
        </w:rPr>
        <w:t>商务局、</w:t>
      </w:r>
      <w:r>
        <w:rPr>
          <w:rFonts w:hint="eastAsia" w:ascii="宋体" w:hAnsi="宋体" w:eastAsia="宋体" w:cs="楷体"/>
          <w:color w:val="000000"/>
          <w:sz w:val="24"/>
          <w:szCs w:val="24"/>
        </w:rPr>
        <w:t>市</w:t>
      </w:r>
      <w:r>
        <w:rPr>
          <w:rFonts w:hint="eastAsia" w:ascii="宋体" w:hAnsi="宋体" w:eastAsia="宋体"/>
          <w:sz w:val="24"/>
          <w:szCs w:val="24"/>
        </w:rPr>
        <w:t>人力资源保障局，各区）</w:t>
      </w:r>
    </w:p>
    <w:tbl>
      <w:tblPr>
        <w:tblStyle w:val="3"/>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5"/>
              <w:overflowPunct w:val="0"/>
              <w:spacing w:before="62" w:beforeLines="20" w:after="62" w:afterLines="20" w:line="0" w:lineRule="atLeast"/>
              <w:ind w:left="-42" w:leftChars="-20" w:right="-42" w:rightChars="-20" w:firstLine="0" w:firstLineChars="0"/>
              <w:jc w:val="center"/>
              <w:rPr>
                <w:rFonts w:ascii="黑体" w:hAnsi="宋体" w:eastAsia="黑体" w:cs="楷体_GB2312"/>
                <w:kern w:val="0"/>
                <w:sz w:val="21"/>
                <w:szCs w:val="21"/>
              </w:rPr>
            </w:pPr>
            <w:r>
              <w:rPr>
                <w:rFonts w:hint="eastAsia" w:ascii="黑体" w:hAnsi="宋体" w:eastAsia="黑体" w:cs="楷体_GB2312"/>
                <w:kern w:val="0"/>
                <w:sz w:val="21"/>
                <w:szCs w:val="21"/>
              </w:rPr>
              <w:t>专栏2  创新载体建设工程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5"/>
              <w:overflowPunct w:val="0"/>
              <w:spacing w:line="320" w:lineRule="exact"/>
              <w:ind w:left="-42" w:leftChars="-20" w:right="-42" w:rightChars="-20" w:firstLine="420"/>
              <w:rPr>
                <w:rFonts w:ascii="宋体" w:hAnsi="宋体" w:eastAsia="宋体" w:cs="Calibri"/>
                <w:sz w:val="21"/>
                <w:szCs w:val="21"/>
              </w:rPr>
            </w:pPr>
            <w:r>
              <w:rPr>
                <w:rFonts w:hint="eastAsia" w:ascii="宋体" w:hAnsi="宋体" w:eastAsia="宋体" w:cs="楷体_GB2312"/>
                <w:kern w:val="0"/>
                <w:sz w:val="21"/>
                <w:szCs w:val="21"/>
              </w:rPr>
              <w:t>（1）积极争取布局建设国家级、省市级重点实验室。加快深圳湾实验室建设，开展生命信息、生物医药和医学工程等领域研究，争取进入国家实验室体系。推进省部共建肿瘤化学基因组学国家重点实验室建设，建立基于化学基因组学为核心技术的综合性研究与开发体系的高端科技创新平台。</w:t>
            </w:r>
          </w:p>
          <w:p>
            <w:pPr>
              <w:pStyle w:val="5"/>
              <w:overflowPunct w:val="0"/>
              <w:spacing w:line="320" w:lineRule="exact"/>
              <w:ind w:left="-42" w:leftChars="-20" w:right="-42" w:rightChars="-20" w:firstLine="420"/>
              <w:rPr>
                <w:rFonts w:ascii="宋体" w:hAnsi="宋体" w:eastAsia="宋体" w:cs="Calibri"/>
                <w:sz w:val="21"/>
                <w:szCs w:val="21"/>
              </w:rPr>
            </w:pPr>
            <w:r>
              <w:rPr>
                <w:rFonts w:hint="eastAsia" w:ascii="宋体" w:hAnsi="宋体" w:eastAsia="宋体" w:cs="Calibri"/>
                <w:sz w:val="21"/>
                <w:szCs w:val="21"/>
              </w:rPr>
              <w:t>（2）加快市级创新载体组建与提升。推动我市工程研究中心、重点实验室、企业技术中心等创新载体建设。提升深圳市创新载体公共服务平台能力，加强运营管理，完善开放共享机制，促进科技人才的合作交流，实现技术成果、仪器设备的对外开放共享。探索协同创新机制，形成产业创新合力，助推产业创新发展。</w:t>
            </w:r>
          </w:p>
          <w:p>
            <w:pPr>
              <w:pStyle w:val="5"/>
              <w:overflowPunct w:val="0"/>
              <w:spacing w:line="320" w:lineRule="exact"/>
              <w:ind w:left="-42" w:leftChars="-20" w:right="-42" w:rightChars="-20" w:firstLine="420"/>
              <w:rPr>
                <w:rFonts w:ascii="宋体" w:hAnsi="宋体" w:eastAsia="宋体" w:cs="Calibri"/>
                <w:sz w:val="21"/>
                <w:szCs w:val="21"/>
              </w:rPr>
            </w:pPr>
            <w:r>
              <w:rPr>
                <w:rFonts w:hint="eastAsia" w:ascii="宋体" w:hAnsi="宋体" w:eastAsia="宋体" w:cs="Calibri"/>
                <w:sz w:val="21"/>
                <w:szCs w:val="21"/>
              </w:rPr>
              <w:t>（3）培育新型基础研究机构。加快建设深港脑科学创新研究院、深圳合成生物学创新研究院等市基础研究机构。依托国家生物产业基地，加快引进和建设中科院苏州医工所深圳工研院、中国医学科学院深圳卫生医学健康研究院。鼓励基础研究机构加强产学研协同创新，加快创新创业与孵化育成相结合，提升我市原始科学创新水平及国际影响力。</w:t>
            </w:r>
          </w:p>
          <w:p>
            <w:pPr>
              <w:pStyle w:val="5"/>
              <w:overflowPunct w:val="0"/>
              <w:spacing w:line="320" w:lineRule="exact"/>
              <w:ind w:left="-42" w:leftChars="-20" w:right="-42" w:rightChars="-20" w:firstLine="420"/>
              <w:rPr>
                <w:rFonts w:ascii="宋体" w:hAnsi="宋体" w:eastAsia="宋体"/>
                <w:sz w:val="21"/>
                <w:szCs w:val="21"/>
              </w:rPr>
            </w:pPr>
            <w:r>
              <w:rPr>
                <w:rFonts w:hint="eastAsia" w:ascii="宋体" w:hAnsi="宋体" w:eastAsia="宋体" w:cs="Calibri"/>
                <w:sz w:val="21"/>
                <w:szCs w:val="21"/>
              </w:rPr>
              <w:t>（4）推进高水平国际交流合作。依托高等院校加强重点学科建设、拓宽高水平国际合作，培育引进高层次科研人才；依托高水平医疗机构开展专业知识技能培训，提升医护人员专业能力；鼓励企业与世界一流的机构开展合作，引进国外优秀企业和先进技术。</w:t>
            </w:r>
          </w:p>
        </w:tc>
      </w:tr>
    </w:tbl>
    <w:p>
      <w:pPr>
        <w:overflowPunct w:val="0"/>
        <w:spacing w:before="93" w:beforeLines="30" w:line="410" w:lineRule="atLeast"/>
        <w:ind w:firstLine="480" w:firstLineChars="200"/>
        <w:rPr>
          <w:rFonts w:ascii="黑体" w:hAnsi="宋体" w:eastAsia="黑体" w:cs="黑体"/>
          <w:color w:val="000000"/>
          <w:sz w:val="24"/>
          <w:szCs w:val="24"/>
        </w:rPr>
      </w:pPr>
      <w:r>
        <w:rPr>
          <w:rFonts w:hint="eastAsia" w:ascii="黑体" w:hAnsi="宋体" w:eastAsia="黑体" w:cs="黑体"/>
          <w:color w:val="000000"/>
          <w:sz w:val="24"/>
          <w:szCs w:val="24"/>
        </w:rPr>
        <w:t>三、强化核心技术攻关，促进成果转化</w:t>
      </w:r>
    </w:p>
    <w:p>
      <w:pPr>
        <w:pStyle w:val="5"/>
        <w:overflowPunct w:val="0"/>
        <w:spacing w:after="156" w:afterLines="50" w:line="410" w:lineRule="atLeast"/>
        <w:ind w:firstLine="480"/>
        <w:rPr>
          <w:rFonts w:hint="eastAsia" w:ascii="宋体" w:hAnsi="宋体" w:eastAsia="宋体"/>
          <w:sz w:val="24"/>
          <w:szCs w:val="24"/>
        </w:rPr>
      </w:pPr>
      <w:r>
        <w:rPr>
          <w:rFonts w:hint="eastAsia" w:ascii="宋体" w:hAnsi="宋体" w:eastAsia="宋体"/>
          <w:sz w:val="24"/>
          <w:szCs w:val="24"/>
        </w:rPr>
        <w:t>支持高校、科研院所、行业龙头企业开展关键部件、核心技术开发并鼓励其与国际一流机构开展科研合作和技术研发，围绕生物医药、高端生物医学工程、精准医疗、数字生命等重点领域，重点支持脑科学、合成生物学、生命组学、再生医学等基础研究，推动新药创制、细胞治疗、基因检测、生物医学成像等技术发展。围绕重大疾病加快核心关键技术难点攻关，研发一批具备国际先进水平的医疗设备，提升我市自主创新能力，加快技术成果转化。（责任单位：市科技创新委、</w:t>
      </w:r>
      <w:r>
        <w:rPr>
          <w:rFonts w:hint="eastAsia" w:ascii="宋体" w:hAnsi="宋体" w:eastAsia="宋体" w:cs="楷体"/>
          <w:color w:val="000000"/>
          <w:sz w:val="24"/>
          <w:szCs w:val="24"/>
        </w:rPr>
        <w:t>市</w:t>
      </w:r>
      <w:r>
        <w:rPr>
          <w:rFonts w:hint="eastAsia" w:ascii="宋体" w:hAnsi="宋体" w:eastAsia="宋体"/>
          <w:sz w:val="24"/>
          <w:szCs w:val="24"/>
        </w:rPr>
        <w:t>发展改革委、</w:t>
      </w:r>
      <w:r>
        <w:rPr>
          <w:rFonts w:hint="eastAsia" w:ascii="宋体" w:hAnsi="宋体" w:eastAsia="宋体" w:cs="楷体"/>
          <w:color w:val="000000"/>
          <w:sz w:val="24"/>
          <w:szCs w:val="24"/>
        </w:rPr>
        <w:t>市</w:t>
      </w:r>
      <w:r>
        <w:rPr>
          <w:rFonts w:hint="eastAsia" w:ascii="宋体" w:hAnsi="宋体" w:eastAsia="宋体"/>
          <w:sz w:val="24"/>
          <w:szCs w:val="24"/>
        </w:rPr>
        <w:t>市场监管局、</w:t>
      </w:r>
      <w:r>
        <w:rPr>
          <w:rFonts w:hint="eastAsia" w:ascii="宋体" w:hAnsi="宋体" w:eastAsia="宋体" w:cs="楷体"/>
          <w:color w:val="000000"/>
          <w:sz w:val="24"/>
          <w:szCs w:val="24"/>
        </w:rPr>
        <w:t>市</w:t>
      </w:r>
      <w:r>
        <w:rPr>
          <w:rFonts w:hint="eastAsia" w:ascii="宋体" w:hAnsi="宋体" w:eastAsia="宋体"/>
          <w:sz w:val="24"/>
          <w:szCs w:val="24"/>
        </w:rPr>
        <w:t>卫生健康委、</w:t>
      </w:r>
      <w:r>
        <w:rPr>
          <w:rFonts w:hint="eastAsia" w:ascii="宋体" w:hAnsi="宋体" w:eastAsia="宋体" w:cs="楷体"/>
          <w:color w:val="000000"/>
          <w:sz w:val="24"/>
          <w:szCs w:val="24"/>
        </w:rPr>
        <w:t>市</w:t>
      </w:r>
      <w:r>
        <w:rPr>
          <w:rFonts w:hint="eastAsia" w:ascii="宋体" w:hAnsi="宋体" w:eastAsia="宋体"/>
          <w:sz w:val="24"/>
          <w:szCs w:val="24"/>
        </w:rPr>
        <w:t>工业和信息化局）</w:t>
      </w:r>
    </w:p>
    <w:tbl>
      <w:tblPr>
        <w:tblStyle w:val="3"/>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63" w:type="dxa"/>
            <w:noWrap w:val="0"/>
            <w:tcMar>
              <w:top w:w="0" w:type="dxa"/>
              <w:left w:w="108" w:type="dxa"/>
              <w:bottom w:w="0" w:type="dxa"/>
              <w:right w:w="108" w:type="dxa"/>
            </w:tcMar>
            <w:vAlign w:val="center"/>
          </w:tcPr>
          <w:p>
            <w:pPr>
              <w:pStyle w:val="5"/>
              <w:overflowPunct w:val="0"/>
              <w:spacing w:before="62" w:beforeLines="20" w:after="62" w:afterLines="20" w:line="0" w:lineRule="atLeast"/>
              <w:ind w:firstLine="0" w:firstLineChars="0"/>
              <w:jc w:val="center"/>
              <w:rPr>
                <w:rFonts w:ascii="黑体" w:hAnsi="宋体" w:eastAsia="黑体" w:cs="楷体_GB2312"/>
                <w:kern w:val="0"/>
                <w:sz w:val="21"/>
                <w:szCs w:val="21"/>
              </w:rPr>
            </w:pPr>
            <w:r>
              <w:rPr>
                <w:rFonts w:hint="eastAsia" w:ascii="黑体" w:hAnsi="宋体" w:eastAsia="黑体" w:cs="楷体_GB2312"/>
                <w:kern w:val="0"/>
                <w:sz w:val="21"/>
                <w:szCs w:val="21"/>
              </w:rPr>
              <w:t>专栏3  核心技术强基工程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63" w:type="dxa"/>
            <w:noWrap w:val="0"/>
            <w:tcMar>
              <w:top w:w="0" w:type="dxa"/>
              <w:left w:w="108" w:type="dxa"/>
              <w:bottom w:w="0" w:type="dxa"/>
              <w:right w:w="108" w:type="dxa"/>
            </w:tcMar>
            <w:vAlign w:val="center"/>
          </w:tcPr>
          <w:p>
            <w:pPr>
              <w:pStyle w:val="5"/>
              <w:overflowPunct w:val="0"/>
              <w:spacing w:line="304" w:lineRule="exact"/>
              <w:ind w:left="-42" w:leftChars="-20" w:right="-42" w:rightChars="-20" w:firstLine="420"/>
              <w:rPr>
                <w:rFonts w:ascii="宋体" w:hAnsi="宋体" w:eastAsia="宋体"/>
                <w:kern w:val="21"/>
                <w:sz w:val="21"/>
                <w:szCs w:val="21"/>
              </w:rPr>
            </w:pPr>
            <w:r>
              <w:rPr>
                <w:rFonts w:hint="eastAsia" w:ascii="宋体" w:hAnsi="宋体" w:eastAsia="宋体"/>
                <w:kern w:val="21"/>
                <w:sz w:val="21"/>
                <w:szCs w:val="21"/>
              </w:rPr>
              <w:t>（1）生物医药领域。突破新型基因治疗载体研发、疫苗分子设计、工程细胞构建、抗体工程优化、效果评价等关键技术和瓶颈技术。</w:t>
            </w:r>
            <w:r>
              <w:rPr>
                <w:rFonts w:hint="eastAsia" w:ascii="宋体" w:hAnsi="宋体" w:eastAsia="宋体"/>
                <w:color w:val="000000"/>
                <w:kern w:val="21"/>
                <w:sz w:val="21"/>
                <w:szCs w:val="21"/>
              </w:rPr>
              <w:t>加快靶标</w:t>
            </w:r>
            <w:r>
              <w:rPr>
                <w:rFonts w:ascii="宋体" w:hAnsi="宋体" w:eastAsia="宋体"/>
                <w:color w:val="000000"/>
                <w:kern w:val="21"/>
                <w:sz w:val="21"/>
                <w:szCs w:val="21"/>
              </w:rPr>
              <w:t>类药物</w:t>
            </w:r>
            <w:r>
              <w:rPr>
                <w:rFonts w:hint="eastAsia" w:ascii="宋体" w:hAnsi="宋体" w:eastAsia="宋体"/>
                <w:color w:val="000000"/>
                <w:kern w:val="21"/>
                <w:sz w:val="21"/>
                <w:szCs w:val="21"/>
              </w:rPr>
              <w:t>、抗体药物、治疗性疫苗、新型</w:t>
            </w:r>
            <w:r>
              <w:rPr>
                <w:rFonts w:ascii="宋体" w:hAnsi="宋体" w:eastAsia="宋体"/>
                <w:color w:val="000000"/>
                <w:kern w:val="21"/>
                <w:sz w:val="21"/>
                <w:szCs w:val="21"/>
              </w:rPr>
              <w:t>疫苗、</w:t>
            </w:r>
            <w:r>
              <w:rPr>
                <w:rFonts w:hint="eastAsia" w:ascii="宋体" w:hAnsi="宋体" w:eastAsia="宋体"/>
                <w:color w:val="000000"/>
                <w:kern w:val="21"/>
                <w:sz w:val="21"/>
                <w:szCs w:val="21"/>
              </w:rPr>
              <w:t>重组蛋白药物、多肽药物、基因治疗等新药研发。</w:t>
            </w:r>
            <w:r>
              <w:rPr>
                <w:rFonts w:hint="eastAsia" w:ascii="宋体" w:hAnsi="宋体" w:eastAsia="宋体"/>
                <w:kern w:val="21"/>
                <w:sz w:val="21"/>
                <w:szCs w:val="21"/>
              </w:rPr>
              <w:t>鼓励加强中药经典名方、优势中药复方与活性成分的研究和开发</w:t>
            </w:r>
            <w:r>
              <w:rPr>
                <w:rFonts w:hint="eastAsia" w:ascii="宋体" w:hAnsi="宋体" w:eastAsia="宋体"/>
                <w:color w:val="000000"/>
                <w:kern w:val="21"/>
                <w:sz w:val="21"/>
                <w:szCs w:val="21"/>
              </w:rPr>
              <w:t>。</w:t>
            </w:r>
          </w:p>
          <w:p>
            <w:pPr>
              <w:pStyle w:val="5"/>
              <w:overflowPunct w:val="0"/>
              <w:spacing w:line="304" w:lineRule="exact"/>
              <w:ind w:firstLine="420"/>
              <w:rPr>
                <w:rFonts w:ascii="宋体" w:hAnsi="宋体" w:eastAsia="宋体"/>
                <w:kern w:val="21"/>
                <w:sz w:val="21"/>
                <w:szCs w:val="21"/>
              </w:rPr>
            </w:pPr>
            <w:r>
              <w:rPr>
                <w:rFonts w:hint="eastAsia" w:ascii="宋体" w:hAnsi="宋体" w:eastAsia="宋体" w:cs="Calibri"/>
                <w:kern w:val="21"/>
                <w:sz w:val="21"/>
                <w:szCs w:val="21"/>
              </w:rPr>
              <w:t>（2）高端生物医学工程领域。对医用成像、检测等设备，加快仪器检测灵敏度、时/空间分辨率、检测通量和</w:t>
            </w:r>
            <w:r>
              <w:rPr>
                <w:rFonts w:hint="eastAsia" w:ascii="黑体" w:hAnsi="宋体" w:eastAsia="黑体" w:cs="楷体_GB2312"/>
                <w:kern w:val="21"/>
                <w:sz w:val="21"/>
                <w:szCs w:val="21"/>
              </w:rPr>
              <w:t>动态范围</w:t>
            </w:r>
            <w:r>
              <w:rPr>
                <w:rFonts w:hint="eastAsia" w:ascii="宋体" w:hAnsi="宋体" w:eastAsia="宋体" w:cs="Calibri"/>
                <w:kern w:val="21"/>
                <w:sz w:val="21"/>
                <w:szCs w:val="21"/>
              </w:rPr>
              <w:t>等核心问题突破，攻克仪器稳定性、可靠性、微型化和智能化等关键技术。加强人工智能、医学影像新技术的集成应用，支持高端影像设备、高端脑神经成像与调控设备、体外诊断、医用诊察和监护、植介入等产品产业化。</w:t>
            </w:r>
          </w:p>
          <w:p>
            <w:pPr>
              <w:pStyle w:val="5"/>
              <w:overflowPunct w:val="0"/>
              <w:spacing w:line="304" w:lineRule="exact"/>
              <w:ind w:left="-42" w:leftChars="-20" w:right="-42" w:rightChars="-20" w:firstLine="420"/>
              <w:rPr>
                <w:rFonts w:ascii="宋体" w:hAnsi="宋体" w:eastAsia="宋体" w:cs="Calibri"/>
                <w:kern w:val="21"/>
                <w:sz w:val="21"/>
                <w:szCs w:val="21"/>
              </w:rPr>
            </w:pPr>
            <w:r>
              <w:rPr>
                <w:rFonts w:hint="eastAsia" w:ascii="宋体" w:hAnsi="宋体" w:eastAsia="宋体" w:cs="Calibri"/>
                <w:kern w:val="21"/>
                <w:sz w:val="21"/>
                <w:szCs w:val="21"/>
              </w:rPr>
              <w:t>（3）精准医疗领域。建立生命组学数据质量控制体系与标准，发展新一代基因组测序技术、定量蛋白质组鉴定分析技术、超灵敏高覆盖代谢组定量分析技术和多组学分析技术。</w:t>
            </w:r>
            <w:r>
              <w:rPr>
                <w:rFonts w:hint="eastAsia" w:ascii="宋体" w:hAnsi="宋体" w:eastAsia="宋体"/>
                <w:color w:val="000000"/>
                <w:kern w:val="21"/>
                <w:sz w:val="21"/>
                <w:szCs w:val="21"/>
              </w:rPr>
              <w:t>开发高准确度、多位点分子诊断设备和配套试剂等。</w:t>
            </w:r>
          </w:p>
          <w:p>
            <w:pPr>
              <w:pStyle w:val="5"/>
              <w:overflowPunct w:val="0"/>
              <w:spacing w:line="304" w:lineRule="exact"/>
              <w:ind w:left="-42" w:leftChars="-20" w:right="-42" w:rightChars="-20" w:firstLine="420"/>
              <w:rPr>
                <w:rFonts w:ascii="宋体" w:hAnsi="宋体" w:eastAsia="宋体" w:cs="Calibri"/>
                <w:sz w:val="21"/>
                <w:szCs w:val="21"/>
              </w:rPr>
            </w:pPr>
            <w:r>
              <w:rPr>
                <w:rFonts w:hint="eastAsia" w:ascii="宋体" w:hAnsi="宋体" w:eastAsia="宋体" w:cs="Calibri"/>
                <w:kern w:val="21"/>
                <w:sz w:val="21"/>
                <w:szCs w:val="21"/>
              </w:rPr>
              <w:t>（4）数字生命领域。支持研发健康管理相关的人工智能技术、医用机器人、健康和康复辅助器械以及可穿戴设备，加快研发成果转化；提高数字医疗设备、物联网设备、智能健康产品质量，促进健康管理产业升</w:t>
            </w:r>
            <w:r>
              <w:rPr>
                <w:rFonts w:hint="eastAsia" w:ascii="宋体" w:hAnsi="宋体" w:eastAsia="宋体" w:cs="Calibri"/>
                <w:sz w:val="21"/>
                <w:szCs w:val="21"/>
              </w:rPr>
              <w:t>级。</w:t>
            </w:r>
          </w:p>
        </w:tc>
      </w:tr>
    </w:tbl>
    <w:p>
      <w:pPr>
        <w:overflowPunct w:val="0"/>
        <w:spacing w:before="93" w:beforeLines="30" w:line="400" w:lineRule="atLeast"/>
        <w:ind w:firstLine="480" w:firstLineChars="200"/>
        <w:rPr>
          <w:rFonts w:ascii="黑体" w:hAnsi="宋体" w:eastAsia="黑体" w:cs="黑体"/>
          <w:color w:val="000000"/>
          <w:sz w:val="24"/>
          <w:szCs w:val="24"/>
        </w:rPr>
      </w:pPr>
      <w:r>
        <w:rPr>
          <w:rFonts w:hint="eastAsia" w:ascii="黑体" w:hAnsi="宋体" w:eastAsia="黑体" w:cs="黑体"/>
          <w:color w:val="000000"/>
          <w:sz w:val="24"/>
          <w:szCs w:val="24"/>
        </w:rPr>
        <w:t>四、完善服务体系建设，优化产业生态</w:t>
      </w:r>
    </w:p>
    <w:p>
      <w:pPr>
        <w:pStyle w:val="5"/>
        <w:overflowPunct w:val="0"/>
        <w:spacing w:after="156" w:afterLines="50" w:line="400" w:lineRule="atLeast"/>
        <w:ind w:firstLine="480"/>
        <w:rPr>
          <w:rFonts w:ascii="宋体" w:hAnsi="宋体" w:eastAsia="宋体"/>
          <w:sz w:val="24"/>
          <w:szCs w:val="24"/>
        </w:rPr>
      </w:pPr>
      <w:r>
        <w:rPr>
          <w:rFonts w:hint="eastAsia" w:ascii="宋体" w:hAnsi="宋体" w:eastAsia="宋体"/>
          <w:sz w:val="24"/>
          <w:szCs w:val="24"/>
        </w:rPr>
        <w:t>加快动物实验中心、体细胞治疗临床研究和转化应用平台等功能型平台建设和布局，支持医疗机构开展临床实验，推动将临床试验和成果转化作为医疗机构绩效评价的重要依据。</w:t>
      </w:r>
      <w:r>
        <w:rPr>
          <w:rFonts w:hint="eastAsia" w:ascii="宋体" w:hAnsi="宋体" w:eastAsia="宋体"/>
          <w:color w:val="000000"/>
          <w:sz w:val="24"/>
          <w:szCs w:val="24"/>
        </w:rPr>
        <w:t>优化产业发展硬条件和软环境，打造我市生物医药产业优质服务</w:t>
      </w:r>
      <w:r>
        <w:rPr>
          <w:rFonts w:ascii="宋体" w:hAnsi="宋体" w:eastAsia="宋体"/>
          <w:color w:val="000000"/>
          <w:sz w:val="24"/>
          <w:szCs w:val="24"/>
        </w:rPr>
        <w:t>新</w:t>
      </w:r>
      <w:r>
        <w:rPr>
          <w:rFonts w:hint="eastAsia" w:ascii="宋体" w:hAnsi="宋体" w:eastAsia="宋体"/>
          <w:color w:val="000000"/>
          <w:sz w:val="24"/>
          <w:szCs w:val="24"/>
        </w:rPr>
        <w:t>生态。</w:t>
      </w:r>
      <w:r>
        <w:rPr>
          <w:rFonts w:hint="eastAsia" w:ascii="宋体" w:hAnsi="宋体" w:eastAsia="宋体"/>
          <w:sz w:val="24"/>
          <w:szCs w:val="24"/>
        </w:rPr>
        <w:t>（责任单位：市发展改革委、</w:t>
      </w:r>
      <w:r>
        <w:rPr>
          <w:rFonts w:hint="eastAsia" w:ascii="宋体" w:hAnsi="宋体" w:eastAsia="宋体" w:cs="楷体"/>
          <w:color w:val="000000"/>
          <w:sz w:val="24"/>
          <w:szCs w:val="24"/>
        </w:rPr>
        <w:t>市</w:t>
      </w:r>
      <w:r>
        <w:rPr>
          <w:rFonts w:hint="eastAsia" w:ascii="宋体" w:hAnsi="宋体" w:eastAsia="宋体"/>
          <w:sz w:val="24"/>
          <w:szCs w:val="24"/>
        </w:rPr>
        <w:t>工业和信息化局、</w:t>
      </w:r>
      <w:r>
        <w:rPr>
          <w:rFonts w:hint="eastAsia" w:ascii="宋体" w:hAnsi="宋体" w:eastAsia="宋体" w:cs="楷体"/>
          <w:color w:val="000000"/>
          <w:sz w:val="24"/>
          <w:szCs w:val="24"/>
        </w:rPr>
        <w:t>市</w:t>
      </w:r>
      <w:r>
        <w:rPr>
          <w:rFonts w:hint="eastAsia" w:ascii="宋体" w:hAnsi="宋体" w:eastAsia="宋体"/>
          <w:sz w:val="24"/>
          <w:szCs w:val="24"/>
        </w:rPr>
        <w:t>科技创新委、</w:t>
      </w:r>
      <w:r>
        <w:rPr>
          <w:rFonts w:hint="eastAsia" w:ascii="宋体" w:hAnsi="宋体" w:eastAsia="宋体" w:cs="楷体"/>
          <w:color w:val="000000"/>
          <w:sz w:val="24"/>
          <w:szCs w:val="24"/>
        </w:rPr>
        <w:t>市</w:t>
      </w:r>
      <w:r>
        <w:rPr>
          <w:rFonts w:hint="eastAsia" w:ascii="宋体" w:hAnsi="宋体" w:eastAsia="宋体"/>
          <w:sz w:val="24"/>
          <w:szCs w:val="24"/>
        </w:rPr>
        <w:t>市场监管局、</w:t>
      </w:r>
      <w:r>
        <w:rPr>
          <w:rFonts w:hint="eastAsia" w:ascii="宋体" w:hAnsi="宋体" w:eastAsia="宋体" w:cs="楷体"/>
          <w:color w:val="000000"/>
          <w:sz w:val="24"/>
          <w:szCs w:val="24"/>
        </w:rPr>
        <w:t>市</w:t>
      </w:r>
      <w:r>
        <w:rPr>
          <w:rFonts w:hint="eastAsia" w:ascii="宋体" w:hAnsi="宋体" w:eastAsia="宋体"/>
          <w:sz w:val="24"/>
          <w:szCs w:val="24"/>
        </w:rPr>
        <w:t>商务局、</w:t>
      </w:r>
      <w:r>
        <w:rPr>
          <w:rFonts w:hint="eastAsia" w:ascii="宋体" w:hAnsi="宋体" w:eastAsia="宋体" w:cs="楷体"/>
          <w:color w:val="000000"/>
          <w:sz w:val="24"/>
          <w:szCs w:val="24"/>
        </w:rPr>
        <w:t>市</w:t>
      </w:r>
      <w:r>
        <w:rPr>
          <w:rFonts w:hint="eastAsia" w:ascii="宋体" w:hAnsi="宋体" w:eastAsia="宋体"/>
          <w:sz w:val="24"/>
          <w:szCs w:val="24"/>
        </w:rPr>
        <w:t>卫生健康委，各区）</w:t>
      </w:r>
    </w:p>
    <w:tbl>
      <w:tblPr>
        <w:tblStyle w:val="3"/>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62" w:type="dxa"/>
            <w:noWrap w:val="0"/>
            <w:tcMar>
              <w:top w:w="0" w:type="dxa"/>
              <w:left w:w="108" w:type="dxa"/>
              <w:bottom w:w="0" w:type="dxa"/>
              <w:right w:w="108" w:type="dxa"/>
            </w:tcMar>
            <w:vAlign w:val="center"/>
          </w:tcPr>
          <w:p>
            <w:pPr>
              <w:pStyle w:val="5"/>
              <w:overflowPunct w:val="0"/>
              <w:spacing w:before="62" w:beforeLines="20" w:after="62" w:afterLines="20" w:line="0" w:lineRule="atLeast"/>
              <w:ind w:firstLine="0" w:firstLineChars="0"/>
              <w:jc w:val="center"/>
              <w:rPr>
                <w:rFonts w:ascii="黑体" w:hAnsi="宋体" w:eastAsia="黑体" w:cs="楷体_GB2312"/>
                <w:kern w:val="0"/>
                <w:sz w:val="21"/>
                <w:szCs w:val="21"/>
              </w:rPr>
            </w:pPr>
            <w:r>
              <w:rPr>
                <w:rFonts w:hint="eastAsia" w:ascii="黑体" w:hAnsi="宋体" w:eastAsia="黑体" w:cs="楷体_GB2312"/>
                <w:kern w:val="0"/>
                <w:sz w:val="21"/>
                <w:szCs w:val="21"/>
              </w:rPr>
              <w:t>专栏4  服务体系建设工程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62" w:type="dxa"/>
            <w:noWrap w:val="0"/>
            <w:tcMar>
              <w:top w:w="0" w:type="dxa"/>
              <w:left w:w="108" w:type="dxa"/>
              <w:bottom w:w="0" w:type="dxa"/>
              <w:right w:w="108" w:type="dxa"/>
            </w:tcMar>
            <w:vAlign w:val="center"/>
          </w:tcPr>
          <w:p>
            <w:pPr>
              <w:overflowPunct w:val="0"/>
              <w:spacing w:line="300" w:lineRule="exact"/>
              <w:ind w:left="-42" w:leftChars="-20" w:right="-42" w:rightChars="-20" w:firstLine="420" w:firstLineChars="200"/>
              <w:rPr>
                <w:rFonts w:ascii="宋体" w:hAnsi="宋体" w:cs="楷体_GB2312"/>
                <w:kern w:val="21"/>
                <w:szCs w:val="21"/>
              </w:rPr>
            </w:pPr>
            <w:r>
              <w:rPr>
                <w:rFonts w:hint="eastAsia" w:ascii="宋体" w:hAnsi="宋体" w:cs="楷体_GB2312"/>
                <w:kern w:val="21"/>
                <w:szCs w:val="21"/>
              </w:rPr>
              <w:t>（1）推进制造业创新中心建设。支持高性能医疗器械制造业创新中心和新药制造业创新中心建设，打造跨界协同的创新生态系统，通过协同创新，促进前沿技术和共性关键技术的研发供给、转移扩散和首次商业化，积极争创国家级制造业创新中心。</w:t>
            </w:r>
          </w:p>
          <w:p>
            <w:pPr>
              <w:overflowPunct w:val="0"/>
              <w:spacing w:line="300" w:lineRule="exact"/>
              <w:ind w:left="-42" w:leftChars="-20" w:right="-42" w:rightChars="-20" w:firstLine="420" w:firstLineChars="200"/>
              <w:rPr>
                <w:rFonts w:ascii="宋体" w:hAnsi="宋体" w:cs="楷体_GB2312"/>
                <w:kern w:val="21"/>
                <w:szCs w:val="21"/>
              </w:rPr>
            </w:pPr>
            <w:r>
              <w:rPr>
                <w:rFonts w:hint="eastAsia" w:ascii="宋体" w:hAnsi="宋体" w:cs="楷体_GB2312"/>
                <w:kern w:val="21"/>
                <w:szCs w:val="21"/>
              </w:rPr>
              <w:t>（2）完善药物临床试验</w:t>
            </w:r>
            <w:r>
              <w:rPr>
                <w:rFonts w:ascii="宋体" w:hAnsi="宋体" w:cs="楷体_GB2312"/>
                <w:kern w:val="21"/>
                <w:szCs w:val="21"/>
              </w:rPr>
              <w:t>服务体系</w:t>
            </w:r>
            <w:r>
              <w:rPr>
                <w:rFonts w:hint="eastAsia" w:ascii="宋体" w:hAnsi="宋体" w:cs="楷体_GB2312"/>
                <w:kern w:val="21"/>
                <w:szCs w:val="21"/>
              </w:rPr>
              <w:t>。支持在深医疗机构、医学研究机构开展临床试验，鼓励三级医疗机构设立研究型病床，专门开展高水平临床医学研究；推动将临床试验和成果转化作为医疗机构绩效评价的重要依据，加大对国际临床检验特检项目的引进力度，</w:t>
            </w:r>
            <w:r>
              <w:rPr>
                <w:rFonts w:ascii="宋体" w:hAnsi="宋体" w:cs="楷体_GB2312"/>
                <w:kern w:val="21"/>
                <w:szCs w:val="21"/>
              </w:rPr>
              <w:t>加强临床试验机构能力建设。</w:t>
            </w:r>
          </w:p>
          <w:p>
            <w:pPr>
              <w:overflowPunct w:val="0"/>
              <w:spacing w:line="300" w:lineRule="exact"/>
              <w:ind w:left="-42" w:leftChars="-20" w:right="-42" w:rightChars="-20" w:firstLine="420" w:firstLineChars="200"/>
              <w:rPr>
                <w:rFonts w:ascii="宋体" w:hAnsi="宋体" w:cs="楷体_GB2312"/>
                <w:kern w:val="21"/>
                <w:szCs w:val="21"/>
              </w:rPr>
            </w:pPr>
            <w:r>
              <w:rPr>
                <w:rFonts w:hint="eastAsia" w:ascii="宋体" w:hAnsi="宋体" w:cs="楷体_GB2312"/>
                <w:kern w:val="21"/>
                <w:szCs w:val="21"/>
              </w:rPr>
              <w:t>（3）推进科技转化功能型平台建设。联合国际领先专业服务机构，开展前沿科技孵化转化，形成对产业链各环节孵化转化过程的技术服务供给。加快蒙纳士大学技术转移中心、北大深圳健康研究院国际生命健康研发转化坪山中心等项目建设。新建生物医药产业全景信息化平台，实时监测重点企业信息、重点区域发展、产业规模等，打造我市生物医药产业大脑，实现产业全景洞察，为产业科学发展提供专业决策支撑。</w:t>
            </w:r>
          </w:p>
          <w:p>
            <w:pPr>
              <w:overflowPunct w:val="0"/>
              <w:spacing w:line="300" w:lineRule="exact"/>
              <w:ind w:left="-42" w:leftChars="-20" w:right="-42" w:rightChars="-20" w:firstLine="420" w:firstLineChars="200"/>
              <w:rPr>
                <w:rFonts w:ascii="宋体" w:hAnsi="宋体"/>
                <w:szCs w:val="21"/>
              </w:rPr>
            </w:pPr>
            <w:r>
              <w:rPr>
                <w:rFonts w:hint="eastAsia" w:ascii="宋体" w:hAnsi="宋体" w:cs="楷体_GB2312"/>
                <w:kern w:val="21"/>
                <w:szCs w:val="21"/>
              </w:rPr>
              <w:t>（4）探索设立深圳生物医药产业促进中心。参与编制我市生物医药产业发展规划和政策；统筹协调产业园区发展；充分利用产业“产学研医”优势资源；推进产业公共服务平台建设；配合引进优质企业、高层次人才和创</w:t>
            </w:r>
            <w:r>
              <w:rPr>
                <w:rFonts w:hint="eastAsia" w:ascii="宋体" w:hAnsi="宋体" w:cs="楷体_GB2312"/>
                <w:kern w:val="0"/>
                <w:szCs w:val="21"/>
              </w:rPr>
              <w:t>投资本。</w:t>
            </w:r>
          </w:p>
        </w:tc>
      </w:tr>
    </w:tbl>
    <w:p>
      <w:pPr>
        <w:overflowPunct w:val="0"/>
        <w:spacing w:before="93" w:beforeLines="30" w:line="410" w:lineRule="atLeast"/>
        <w:ind w:firstLine="480" w:firstLineChars="200"/>
        <w:rPr>
          <w:rFonts w:ascii="黑体" w:hAnsi="宋体" w:eastAsia="黑体" w:cs="黑体"/>
          <w:color w:val="000000"/>
          <w:sz w:val="24"/>
          <w:szCs w:val="24"/>
        </w:rPr>
      </w:pPr>
      <w:r>
        <w:rPr>
          <w:rFonts w:ascii="黑体" w:hAnsi="宋体" w:eastAsia="黑体" w:cs="黑体"/>
          <w:color w:val="000000"/>
          <w:sz w:val="24"/>
          <w:szCs w:val="24"/>
        </w:rPr>
        <w:t>五</w:t>
      </w:r>
      <w:r>
        <w:rPr>
          <w:rFonts w:hint="eastAsia" w:ascii="黑体" w:hAnsi="宋体" w:eastAsia="黑体" w:cs="黑体"/>
          <w:color w:val="000000"/>
          <w:sz w:val="24"/>
          <w:szCs w:val="24"/>
        </w:rPr>
        <w:t>、支持开展应用示范，实现健康惠民</w:t>
      </w:r>
    </w:p>
    <w:p>
      <w:pPr>
        <w:pStyle w:val="5"/>
        <w:overflowPunct w:val="0"/>
        <w:spacing w:after="156" w:afterLines="50" w:line="410" w:lineRule="atLeast"/>
        <w:ind w:firstLine="480"/>
        <w:rPr>
          <w:rFonts w:ascii="宋体" w:hAnsi="宋体" w:eastAsia="宋体"/>
          <w:sz w:val="24"/>
          <w:szCs w:val="24"/>
        </w:rPr>
      </w:pPr>
      <w:r>
        <w:rPr>
          <w:rFonts w:hint="eastAsia" w:ascii="宋体" w:hAnsi="宋体" w:eastAsia="宋体"/>
          <w:color w:val="000000"/>
          <w:sz w:val="24"/>
          <w:szCs w:val="24"/>
        </w:rPr>
        <w:t>加强智慧</w:t>
      </w:r>
      <w:r>
        <w:rPr>
          <w:rFonts w:ascii="宋体" w:hAnsi="宋体" w:eastAsia="宋体"/>
          <w:color w:val="000000"/>
          <w:sz w:val="24"/>
          <w:szCs w:val="24"/>
        </w:rPr>
        <w:t>健康养老体系建设</w:t>
      </w:r>
      <w:r>
        <w:rPr>
          <w:rFonts w:hint="eastAsia" w:ascii="宋体" w:hAnsi="宋体" w:eastAsia="宋体"/>
          <w:sz w:val="24"/>
          <w:szCs w:val="24"/>
        </w:rPr>
        <w:t>，充分运用互联网、大数据等信息技术手段，开展智慧健康养老应用试点。鼓励先进医疗设备纳入创新产品目录，并在医疗机构开展应用示范。推进</w:t>
      </w:r>
      <w:r>
        <w:rPr>
          <w:rFonts w:ascii="宋体" w:hAnsi="宋体" w:eastAsia="宋体"/>
          <w:sz w:val="24"/>
          <w:szCs w:val="24"/>
        </w:rPr>
        <w:t>中医药</w:t>
      </w:r>
      <w:r>
        <w:rPr>
          <w:rFonts w:hint="eastAsia" w:ascii="宋体" w:hAnsi="宋体" w:eastAsia="宋体"/>
          <w:sz w:val="24"/>
          <w:szCs w:val="24"/>
        </w:rPr>
        <w:t>产品</w:t>
      </w:r>
      <w:r>
        <w:rPr>
          <w:rFonts w:ascii="宋体" w:hAnsi="宋体" w:eastAsia="宋体"/>
          <w:sz w:val="24"/>
          <w:szCs w:val="24"/>
        </w:rPr>
        <w:t>国际化</w:t>
      </w:r>
      <w:r>
        <w:rPr>
          <w:rFonts w:hint="eastAsia" w:ascii="宋体" w:hAnsi="宋体" w:eastAsia="宋体"/>
          <w:sz w:val="24"/>
          <w:szCs w:val="24"/>
        </w:rPr>
        <w:t>。发展健康信息服务和智慧医疗服务，加强信息技术在医疗、卫生等领域应用，促进数字化健康技术普及惠民。（责任单位：市卫生健康委、</w:t>
      </w:r>
      <w:r>
        <w:rPr>
          <w:rFonts w:hint="eastAsia" w:ascii="宋体" w:hAnsi="宋体" w:eastAsia="宋体" w:cs="楷体"/>
          <w:color w:val="000000"/>
          <w:sz w:val="24"/>
          <w:szCs w:val="24"/>
        </w:rPr>
        <w:t>市</w:t>
      </w:r>
      <w:r>
        <w:rPr>
          <w:rFonts w:hint="eastAsia" w:ascii="宋体" w:hAnsi="宋体" w:eastAsia="宋体"/>
          <w:sz w:val="24"/>
          <w:szCs w:val="24"/>
        </w:rPr>
        <w:t>民政局、</w:t>
      </w:r>
      <w:r>
        <w:rPr>
          <w:rFonts w:hint="eastAsia" w:ascii="宋体" w:hAnsi="宋体" w:eastAsia="宋体" w:cs="楷体"/>
          <w:color w:val="000000"/>
          <w:sz w:val="24"/>
          <w:szCs w:val="24"/>
        </w:rPr>
        <w:t>市</w:t>
      </w:r>
      <w:r>
        <w:rPr>
          <w:rFonts w:hint="eastAsia" w:ascii="宋体" w:hAnsi="宋体" w:eastAsia="宋体"/>
          <w:sz w:val="24"/>
          <w:szCs w:val="24"/>
        </w:rPr>
        <w:t>发展改革委、</w:t>
      </w:r>
      <w:r>
        <w:rPr>
          <w:rFonts w:hint="eastAsia" w:ascii="宋体" w:hAnsi="宋体" w:eastAsia="宋体" w:cs="楷体"/>
          <w:color w:val="000000"/>
          <w:sz w:val="24"/>
          <w:szCs w:val="24"/>
        </w:rPr>
        <w:t>市</w:t>
      </w:r>
      <w:r>
        <w:rPr>
          <w:rFonts w:hint="eastAsia" w:ascii="宋体" w:hAnsi="宋体" w:eastAsia="宋体"/>
          <w:sz w:val="24"/>
          <w:szCs w:val="24"/>
        </w:rPr>
        <w:t>工业和信息化局、</w:t>
      </w:r>
      <w:r>
        <w:rPr>
          <w:rFonts w:hint="eastAsia" w:ascii="宋体" w:hAnsi="宋体" w:eastAsia="宋体" w:cs="楷体"/>
          <w:color w:val="000000"/>
          <w:sz w:val="24"/>
          <w:szCs w:val="24"/>
        </w:rPr>
        <w:t>市</w:t>
      </w:r>
      <w:r>
        <w:rPr>
          <w:rFonts w:hint="eastAsia" w:ascii="宋体" w:hAnsi="宋体" w:eastAsia="宋体"/>
          <w:sz w:val="24"/>
          <w:szCs w:val="24"/>
        </w:rPr>
        <w:t>科技创新委）</w:t>
      </w:r>
    </w:p>
    <w:tbl>
      <w:tblPr>
        <w:tblStyle w:val="3"/>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62" w:type="dxa"/>
            <w:noWrap w:val="0"/>
            <w:tcMar>
              <w:top w:w="0" w:type="dxa"/>
              <w:left w:w="108" w:type="dxa"/>
              <w:bottom w:w="0" w:type="dxa"/>
              <w:right w:w="108" w:type="dxa"/>
            </w:tcMar>
            <w:vAlign w:val="center"/>
          </w:tcPr>
          <w:p>
            <w:pPr>
              <w:pStyle w:val="5"/>
              <w:overflowPunct w:val="0"/>
              <w:spacing w:before="62" w:beforeLines="20" w:after="62" w:afterLines="20" w:line="0" w:lineRule="atLeast"/>
              <w:ind w:firstLine="0" w:firstLineChars="0"/>
              <w:jc w:val="center"/>
              <w:rPr>
                <w:rFonts w:ascii="黑体" w:hAnsi="宋体" w:eastAsia="黑体" w:cs="楷体_GB2312"/>
                <w:kern w:val="0"/>
                <w:sz w:val="21"/>
                <w:szCs w:val="21"/>
              </w:rPr>
            </w:pPr>
            <w:r>
              <w:rPr>
                <w:rFonts w:hint="eastAsia" w:ascii="黑体" w:hAnsi="宋体" w:eastAsia="黑体" w:cs="楷体_GB2312"/>
                <w:kern w:val="0"/>
                <w:sz w:val="21"/>
                <w:szCs w:val="21"/>
              </w:rPr>
              <w:t>专栏5  应用示范建设工程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62" w:type="dxa"/>
            <w:noWrap w:val="0"/>
            <w:tcMar>
              <w:top w:w="0" w:type="dxa"/>
              <w:left w:w="108" w:type="dxa"/>
              <w:bottom w:w="0" w:type="dxa"/>
              <w:right w:w="108" w:type="dxa"/>
            </w:tcMar>
            <w:vAlign w:val="center"/>
          </w:tcPr>
          <w:p>
            <w:pPr>
              <w:pStyle w:val="5"/>
              <w:overflowPunct w:val="0"/>
              <w:spacing w:line="320" w:lineRule="exact"/>
              <w:ind w:left="-42" w:leftChars="-20" w:right="-42" w:rightChars="-20" w:firstLine="420"/>
              <w:rPr>
                <w:rFonts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eastAsia="宋体"/>
                <w:sz w:val="21"/>
                <w:szCs w:val="21"/>
              </w:rPr>
              <w:t>加强智慧健康养老体系建设。充分运用互联网、大数据等信息技术手段，开展智慧健康养老应用试点。建立老年健康动态检测机制，为老年人提供慢病康复、心肺复苏、疼痛康复等服务。搭建智慧健康养老服务平台，对接各级医疗卫生及养老服务资源，逐步提高居民健康期望寿命，有效减轻慢性疾病负担。</w:t>
            </w:r>
          </w:p>
          <w:p>
            <w:pPr>
              <w:pStyle w:val="5"/>
              <w:overflowPunct w:val="0"/>
              <w:spacing w:line="320" w:lineRule="exact"/>
              <w:ind w:left="-42" w:leftChars="-20" w:right="-42" w:rightChars="-20" w:firstLine="420"/>
              <w:rPr>
                <w:rFonts w:ascii="宋体" w:hAnsi="宋体" w:eastAsia="宋体"/>
                <w:sz w:val="21"/>
                <w:szCs w:val="21"/>
                <w:highlight w:val="yellow"/>
              </w:rPr>
            </w:pPr>
            <w:r>
              <w:rPr>
                <w:rFonts w:hint="eastAsia" w:ascii="宋体" w:hAnsi="宋体" w:eastAsia="宋体"/>
                <w:sz w:val="21"/>
                <w:szCs w:val="21"/>
              </w:rPr>
              <w:t>（2）加快推进全民健康信息平台和“健康云”服务平台建设。建设完善以电子病历、电子健康档案为核心的全民健康信息平台，运用移动互联网、云计算、物联网、人工智能等新技术加快发展健康信息服务和智慧医疗服务，推动健康评估、健康干预、疾病预防、医养结合等服务模式与业态创新发展。建设我市转化医学公共支撑平台，开展慢病人群队列研究，为临床医学研究、居民疾病防控和治疗提供支撑。实现居民全生命周期的健康管理。</w:t>
            </w:r>
          </w:p>
          <w:p>
            <w:pPr>
              <w:pStyle w:val="5"/>
              <w:overflowPunct w:val="0"/>
              <w:spacing w:line="320" w:lineRule="exact"/>
              <w:ind w:left="-42" w:leftChars="-20" w:right="-42" w:rightChars="-20" w:firstLine="420"/>
              <w:rPr>
                <w:rFonts w:ascii="宋体" w:hAnsi="宋体" w:eastAsia="宋体"/>
                <w:sz w:val="21"/>
                <w:szCs w:val="21"/>
              </w:rPr>
            </w:pPr>
            <w:r>
              <w:rPr>
                <w:rFonts w:hint="eastAsia" w:ascii="宋体" w:hAnsi="宋体" w:eastAsia="宋体"/>
                <w:sz w:val="21"/>
                <w:szCs w:val="21"/>
              </w:rPr>
              <w:t>（3）支持建设集生物数据收集、精准诊疗研发、可穿戴设备研制等生物医疗数据产业示范园，形成深圳特色的健康医疗大数据产业新业态。</w:t>
            </w:r>
          </w:p>
          <w:p>
            <w:pPr>
              <w:pStyle w:val="5"/>
              <w:overflowPunct w:val="0"/>
              <w:spacing w:line="320" w:lineRule="exact"/>
              <w:ind w:left="-42" w:leftChars="-20" w:right="-42" w:rightChars="-20" w:firstLine="420"/>
              <w:rPr>
                <w:rFonts w:ascii="宋体" w:hAnsi="宋体" w:eastAsia="宋体"/>
                <w:sz w:val="21"/>
                <w:szCs w:val="21"/>
              </w:rPr>
            </w:pPr>
            <w:r>
              <w:rPr>
                <w:rFonts w:hint="eastAsia" w:ascii="宋体" w:hAnsi="宋体" w:eastAsia="宋体"/>
                <w:sz w:val="21"/>
                <w:szCs w:val="21"/>
              </w:rPr>
              <w:t>（4）支持先进医疗装备在医疗机构开展应用示范，对性能、可靠性、有效性等进行临床验证考核，形成“应用示范－反馈改进－水平提升－辐射推广”的良性循环。建立由政府部门主导的产品应用推介机制，促进创新产品推广应用。</w:t>
            </w:r>
          </w:p>
          <w:p>
            <w:pPr>
              <w:pStyle w:val="5"/>
              <w:overflowPunct w:val="0"/>
              <w:spacing w:line="320" w:lineRule="exact"/>
              <w:ind w:left="-42" w:leftChars="-20" w:right="-42" w:rightChars="-20" w:firstLine="420"/>
              <w:rPr>
                <w:rFonts w:ascii="宋体" w:hAnsi="宋体" w:eastAsia="宋体"/>
                <w:sz w:val="21"/>
                <w:szCs w:val="21"/>
              </w:rPr>
            </w:pPr>
            <w:r>
              <w:rPr>
                <w:rFonts w:hint="eastAsia" w:ascii="宋体" w:hAnsi="宋体" w:eastAsia="宋体"/>
                <w:sz w:val="21"/>
                <w:szCs w:val="21"/>
              </w:rPr>
              <w:t>（5）开展中医药应用示范。支持建设名医、名企、名商一体化的国际中药特色诊疗中心，加快制定中药防治重大疾病和疑难疾病临床方案，开发中药健康产品，建设有国际影响力的中药应用示范区。</w:t>
            </w:r>
          </w:p>
        </w:tc>
      </w:tr>
    </w:tbl>
    <w:p>
      <w:pPr>
        <w:overflowPunct w:val="0"/>
        <w:spacing w:before="156" w:beforeLines="50" w:line="410" w:lineRule="atLeast"/>
        <w:ind w:firstLine="480" w:firstLineChars="200"/>
        <w:rPr>
          <w:rFonts w:ascii="黑体" w:hAnsi="宋体" w:eastAsia="黑体" w:cs="黑体"/>
          <w:color w:val="000000"/>
          <w:sz w:val="24"/>
          <w:szCs w:val="24"/>
        </w:rPr>
      </w:pPr>
      <w:r>
        <w:rPr>
          <w:rFonts w:hint="eastAsia" w:ascii="黑体" w:hAnsi="宋体" w:eastAsia="黑体" w:cs="黑体"/>
          <w:color w:val="000000"/>
          <w:sz w:val="24"/>
          <w:szCs w:val="24"/>
        </w:rPr>
        <w:t>六、助力企业做大做强，形成产业集聚</w:t>
      </w:r>
    </w:p>
    <w:p>
      <w:pPr>
        <w:pStyle w:val="5"/>
        <w:overflowPunct w:val="0"/>
        <w:spacing w:after="156" w:afterLines="50" w:line="410" w:lineRule="atLeast"/>
        <w:ind w:firstLine="480"/>
        <w:rPr>
          <w:rFonts w:hint="eastAsia" w:ascii="宋体" w:hAnsi="宋体" w:eastAsia="宋体"/>
          <w:sz w:val="24"/>
          <w:szCs w:val="24"/>
        </w:rPr>
      </w:pPr>
      <w:r>
        <w:rPr>
          <w:rFonts w:hint="eastAsia" w:ascii="宋体" w:hAnsi="宋体" w:eastAsia="宋体"/>
          <w:sz w:val="24"/>
          <w:szCs w:val="24"/>
        </w:rPr>
        <w:t>重点支持我市生物医药领军企业发挥自身优势，加强创新动能，延伸产业链，增强综合竞争力。鼓励企业间、企业与资本间强强联合、跨地区兼并重组、境外并购和投资合作，提高行业集中度。加大招商引资力度，引进一批龙头企业和行业骨干企业；挖掘培育一批有潜力、有实力的初创型企业，推动企业成长。加强园区配套设施建设，用优质的环境吸引企业集聚。（责任单位：市工业和信息化局、</w:t>
      </w:r>
      <w:r>
        <w:rPr>
          <w:rFonts w:hint="eastAsia" w:ascii="宋体" w:hAnsi="宋体" w:eastAsia="宋体" w:cs="楷体"/>
          <w:color w:val="000000"/>
          <w:sz w:val="24"/>
          <w:szCs w:val="24"/>
        </w:rPr>
        <w:t>市</w:t>
      </w:r>
      <w:r>
        <w:rPr>
          <w:rFonts w:hint="eastAsia" w:ascii="宋体" w:hAnsi="宋体" w:eastAsia="宋体"/>
          <w:sz w:val="24"/>
          <w:szCs w:val="24"/>
        </w:rPr>
        <w:t>发展改革委、</w:t>
      </w:r>
      <w:r>
        <w:rPr>
          <w:rFonts w:hint="eastAsia" w:ascii="宋体" w:hAnsi="宋体" w:eastAsia="宋体" w:cs="楷体"/>
          <w:color w:val="000000"/>
          <w:sz w:val="24"/>
          <w:szCs w:val="24"/>
        </w:rPr>
        <w:t>市</w:t>
      </w:r>
      <w:r>
        <w:rPr>
          <w:rFonts w:hint="eastAsia" w:ascii="宋体" w:hAnsi="宋体" w:eastAsia="宋体"/>
          <w:sz w:val="24"/>
          <w:szCs w:val="24"/>
        </w:rPr>
        <w:t>财政局、</w:t>
      </w:r>
      <w:r>
        <w:rPr>
          <w:rFonts w:hint="eastAsia" w:ascii="宋体" w:hAnsi="宋体" w:eastAsia="宋体" w:cs="楷体"/>
          <w:color w:val="000000"/>
          <w:sz w:val="24"/>
          <w:szCs w:val="24"/>
        </w:rPr>
        <w:t>市</w:t>
      </w:r>
      <w:r>
        <w:rPr>
          <w:rFonts w:hint="eastAsia" w:ascii="宋体" w:hAnsi="宋体" w:eastAsia="宋体"/>
          <w:sz w:val="24"/>
          <w:szCs w:val="24"/>
        </w:rPr>
        <w:t>商务局，各区）</w:t>
      </w:r>
    </w:p>
    <w:p>
      <w:pPr>
        <w:pStyle w:val="5"/>
        <w:overflowPunct w:val="0"/>
        <w:spacing w:after="156" w:afterLines="50" w:line="400" w:lineRule="atLeast"/>
        <w:ind w:firstLine="480"/>
        <w:rPr>
          <w:rFonts w:hint="eastAsia" w:ascii="宋体" w:hAnsi="宋体" w:eastAsia="宋体"/>
          <w:sz w:val="24"/>
          <w:szCs w:val="24"/>
        </w:rPr>
      </w:pPr>
    </w:p>
    <w:tbl>
      <w:tblPr>
        <w:tblStyle w:val="3"/>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63" w:type="dxa"/>
            <w:noWrap w:val="0"/>
            <w:tcMar>
              <w:top w:w="0" w:type="dxa"/>
              <w:left w:w="108" w:type="dxa"/>
              <w:bottom w:w="0" w:type="dxa"/>
              <w:right w:w="108" w:type="dxa"/>
            </w:tcMar>
            <w:vAlign w:val="center"/>
          </w:tcPr>
          <w:p>
            <w:pPr>
              <w:pStyle w:val="5"/>
              <w:overflowPunct w:val="0"/>
              <w:spacing w:before="62" w:beforeLines="20" w:after="62" w:afterLines="20" w:line="0" w:lineRule="atLeast"/>
              <w:ind w:firstLine="0" w:firstLineChars="0"/>
              <w:jc w:val="center"/>
              <w:rPr>
                <w:rFonts w:ascii="黑体" w:hAnsi="宋体" w:eastAsia="黑体" w:cs="楷体_GB2312"/>
                <w:kern w:val="0"/>
                <w:sz w:val="21"/>
                <w:szCs w:val="21"/>
              </w:rPr>
            </w:pPr>
            <w:r>
              <w:rPr>
                <w:rFonts w:hint="eastAsia" w:ascii="黑体" w:hAnsi="宋体" w:eastAsia="黑体" w:cs="楷体_GB2312"/>
                <w:kern w:val="0"/>
                <w:sz w:val="21"/>
                <w:szCs w:val="21"/>
              </w:rPr>
              <w:t>专栏6  产业集群建设工程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63" w:type="dxa"/>
            <w:noWrap w:val="0"/>
            <w:tcMar>
              <w:top w:w="0" w:type="dxa"/>
              <w:left w:w="108" w:type="dxa"/>
              <w:bottom w:w="0" w:type="dxa"/>
              <w:right w:w="108" w:type="dxa"/>
            </w:tcMar>
            <w:vAlign w:val="center"/>
          </w:tcPr>
          <w:p>
            <w:pPr>
              <w:pStyle w:val="5"/>
              <w:overflowPunct w:val="0"/>
              <w:spacing w:line="300" w:lineRule="exact"/>
              <w:ind w:left="-42" w:leftChars="-20" w:right="-42" w:rightChars="-20" w:firstLine="420"/>
              <w:rPr>
                <w:rFonts w:ascii="宋体" w:hAnsi="宋体" w:eastAsia="宋体"/>
                <w:color w:val="000000"/>
                <w:sz w:val="21"/>
                <w:szCs w:val="21"/>
              </w:rPr>
            </w:pPr>
            <w:r>
              <w:rPr>
                <w:rFonts w:hint="eastAsia" w:ascii="宋体" w:hAnsi="宋体" w:eastAsia="宋体"/>
                <w:sz w:val="21"/>
                <w:szCs w:val="21"/>
              </w:rPr>
              <w:t>（1）培育一批龙头企业。充分发挥我市在高端生物医学工程和精准医疗领域优势基础，支持企业在高端医疗监护设备、体外诊断试剂、基因检测等方面继续做大做强，引领行业发展。鼓励企业强强合作，在药物筛选、研制等方面创新突破，提高创新药质量，提升行业竞争力。挖掘一批有潜力、有实力的初创型企业，争取培育出一批创新型高成长企业。</w:t>
            </w:r>
          </w:p>
          <w:p>
            <w:pPr>
              <w:pStyle w:val="5"/>
              <w:overflowPunct w:val="0"/>
              <w:spacing w:line="300" w:lineRule="exact"/>
              <w:ind w:left="-42" w:leftChars="-20" w:right="-42" w:rightChars="-20" w:firstLine="420"/>
              <w:rPr>
                <w:rFonts w:ascii="宋体" w:hAnsi="宋体" w:eastAsia="宋体"/>
                <w:sz w:val="21"/>
                <w:szCs w:val="21"/>
              </w:rPr>
            </w:pPr>
            <w:r>
              <w:rPr>
                <w:rFonts w:hint="eastAsia" w:ascii="宋体" w:hAnsi="宋体" w:eastAsia="宋体"/>
                <w:sz w:val="21"/>
                <w:szCs w:val="21"/>
              </w:rPr>
              <w:t>（2）引进一批骨干企业。充分发挥经济特区优势，结合我市区位、资金和产业政策先行先试等方面资源，吸引一批国际龙头企业和行业骨干企业在深设立总部、研发中心和高附加值生产基地，推进产业国际化发展。</w:t>
            </w:r>
          </w:p>
          <w:p>
            <w:pPr>
              <w:pStyle w:val="5"/>
              <w:overflowPunct w:val="0"/>
              <w:spacing w:line="300" w:lineRule="exact"/>
              <w:ind w:left="-42" w:leftChars="-20" w:right="-42" w:rightChars="-20" w:firstLine="420"/>
              <w:rPr>
                <w:rFonts w:ascii="宋体" w:hAnsi="宋体" w:eastAsia="宋体"/>
                <w:sz w:val="21"/>
                <w:szCs w:val="21"/>
              </w:rPr>
            </w:pPr>
            <w:r>
              <w:rPr>
                <w:rFonts w:hint="eastAsia" w:ascii="宋体" w:hAnsi="宋体" w:eastAsia="宋体"/>
                <w:sz w:val="21"/>
                <w:szCs w:val="21"/>
              </w:rPr>
              <w:t>（3）打造一批知名品牌。依托我市在医疗器械和生物医药领域的创新优势资源，在医学成像领域开发一批具有自主知识产权的、国际一流的</w:t>
            </w:r>
            <w:r>
              <w:rPr>
                <w:rFonts w:hint="eastAsia" w:ascii="宋体" w:hAnsi="宋体" w:eastAsia="宋体"/>
                <w:color w:val="000000"/>
                <w:sz w:val="21"/>
                <w:szCs w:val="21"/>
              </w:rPr>
              <w:t>高端超声影像</w:t>
            </w:r>
            <w:r>
              <w:rPr>
                <w:rFonts w:hint="eastAsia" w:ascii="宋体" w:hAnsi="宋体" w:eastAsia="宋体"/>
                <w:sz w:val="21"/>
                <w:szCs w:val="21"/>
              </w:rPr>
              <w:t>、监护仪、超高场磁共振设备等。在生物医药领域，研发一批高质量心血管药、抗癌药、生物制剂等。</w:t>
            </w:r>
          </w:p>
          <w:p>
            <w:pPr>
              <w:pStyle w:val="5"/>
              <w:overflowPunct w:val="0"/>
              <w:spacing w:line="300" w:lineRule="exact"/>
              <w:ind w:left="-42" w:leftChars="-20" w:right="-42" w:rightChars="-20" w:firstLine="420"/>
              <w:rPr>
                <w:rFonts w:ascii="宋体" w:hAnsi="宋体" w:eastAsia="宋体"/>
                <w:sz w:val="21"/>
                <w:szCs w:val="21"/>
              </w:rPr>
            </w:pPr>
            <w:r>
              <w:rPr>
                <w:rFonts w:hint="eastAsia" w:ascii="宋体" w:hAnsi="宋体" w:eastAsia="宋体"/>
                <w:sz w:val="21"/>
                <w:szCs w:val="21"/>
              </w:rPr>
              <w:t>（4）完善园区配套服务。全面提升深圳国家生物产业基地、国际生物谷等园区的战略定位，集中资源要素，加快推动深圳国家生物产业基地发展，建立国内产业技术领先的生物医药产业先导区。统筹规划建设医药产业集聚区，推动传统产业园区升级改造，加快推进南山高新区、国际生物谷、坪山高新区（深圳国家生物产业基地）、光明科学城、尖岗山－石岩南片区、宝龙科技城、鹭湖科技文化片区、龙华银星科技园等生物医药特色产业重点发展片区的建设，积极打造专业化生物医药产业园区，完善交通、信息、商务、安居、环保等配套设施，优化产业发展硬条件和软环境。</w:t>
            </w:r>
          </w:p>
        </w:tc>
      </w:tr>
    </w:tbl>
    <w:p>
      <w:pPr>
        <w:overflowPunct w:val="0"/>
        <w:spacing w:before="93" w:beforeLines="30" w:line="400" w:lineRule="atLeast"/>
        <w:ind w:firstLine="480" w:firstLineChars="200"/>
        <w:rPr>
          <w:rFonts w:ascii="黑体" w:hAnsi="宋体" w:eastAsia="黑体" w:cs="黑体"/>
          <w:color w:val="000000"/>
          <w:sz w:val="24"/>
          <w:szCs w:val="24"/>
        </w:rPr>
      </w:pPr>
      <w:r>
        <w:rPr>
          <w:rFonts w:hint="eastAsia" w:ascii="黑体" w:hAnsi="宋体" w:eastAsia="黑体" w:cs="黑体"/>
          <w:color w:val="000000"/>
          <w:sz w:val="24"/>
          <w:szCs w:val="24"/>
        </w:rPr>
        <w:t>七、提升成果转化水平，建设湾区高地</w:t>
      </w:r>
    </w:p>
    <w:p>
      <w:pPr>
        <w:pStyle w:val="5"/>
        <w:overflowPunct w:val="0"/>
        <w:spacing w:after="156" w:afterLines="50" w:line="400" w:lineRule="atLeast"/>
        <w:ind w:firstLine="480"/>
        <w:rPr>
          <w:rFonts w:ascii="宋体" w:hAnsi="宋体" w:eastAsia="宋体"/>
          <w:color w:val="000000"/>
          <w:sz w:val="24"/>
          <w:szCs w:val="24"/>
        </w:rPr>
      </w:pPr>
      <w:r>
        <w:rPr>
          <w:rFonts w:hint="eastAsia" w:ascii="宋体" w:hAnsi="宋体" w:eastAsia="宋体"/>
          <w:color w:val="000000"/>
          <w:sz w:val="24"/>
          <w:szCs w:val="24"/>
        </w:rPr>
        <w:t>加速</w:t>
      </w:r>
      <w:r>
        <w:rPr>
          <w:rFonts w:ascii="宋体" w:hAnsi="宋体" w:eastAsia="宋体"/>
          <w:color w:val="000000"/>
          <w:sz w:val="24"/>
          <w:szCs w:val="24"/>
        </w:rPr>
        <w:t>推进</w:t>
      </w:r>
      <w:r>
        <w:rPr>
          <w:rFonts w:hint="eastAsia" w:ascii="宋体" w:hAnsi="宋体" w:eastAsia="宋体"/>
          <w:color w:val="000000"/>
          <w:sz w:val="24"/>
          <w:szCs w:val="24"/>
        </w:rPr>
        <w:t>粤港澳</w:t>
      </w:r>
      <w:r>
        <w:rPr>
          <w:rFonts w:ascii="宋体" w:hAnsi="宋体" w:eastAsia="宋体"/>
          <w:color w:val="000000"/>
          <w:sz w:val="24"/>
          <w:szCs w:val="24"/>
        </w:rPr>
        <w:t>大湾区</w:t>
      </w:r>
      <w:r>
        <w:rPr>
          <w:rFonts w:hint="eastAsia" w:ascii="宋体" w:hAnsi="宋体" w:eastAsia="宋体"/>
          <w:color w:val="000000"/>
          <w:sz w:val="24"/>
          <w:szCs w:val="24"/>
        </w:rPr>
        <w:t>生物医药</w:t>
      </w:r>
      <w:r>
        <w:rPr>
          <w:rFonts w:ascii="宋体" w:hAnsi="宋体" w:eastAsia="宋体"/>
          <w:color w:val="000000"/>
          <w:sz w:val="24"/>
          <w:szCs w:val="24"/>
        </w:rPr>
        <w:t>产业核心引擎建设，</w:t>
      </w:r>
      <w:r>
        <w:rPr>
          <w:rFonts w:hint="eastAsia" w:ascii="宋体" w:hAnsi="宋体" w:eastAsia="宋体"/>
          <w:color w:val="000000"/>
          <w:sz w:val="24"/>
          <w:szCs w:val="24"/>
        </w:rPr>
        <w:t>集聚全球</w:t>
      </w:r>
      <w:r>
        <w:rPr>
          <w:rFonts w:ascii="宋体" w:hAnsi="宋体" w:eastAsia="宋体"/>
          <w:color w:val="000000"/>
          <w:sz w:val="24"/>
          <w:szCs w:val="24"/>
        </w:rPr>
        <w:t>尖端</w:t>
      </w:r>
      <w:r>
        <w:rPr>
          <w:rFonts w:hint="eastAsia" w:ascii="宋体" w:hAnsi="宋体" w:eastAsia="宋体"/>
          <w:color w:val="000000"/>
          <w:sz w:val="24"/>
          <w:szCs w:val="24"/>
        </w:rPr>
        <w:t>科研</w:t>
      </w:r>
      <w:r>
        <w:rPr>
          <w:rFonts w:ascii="宋体" w:hAnsi="宋体" w:eastAsia="宋体"/>
          <w:color w:val="000000"/>
          <w:sz w:val="24"/>
          <w:szCs w:val="24"/>
        </w:rPr>
        <w:t>团队，</w:t>
      </w:r>
      <w:r>
        <w:rPr>
          <w:rFonts w:hint="eastAsia" w:ascii="宋体" w:hAnsi="宋体" w:eastAsia="宋体"/>
          <w:color w:val="000000"/>
          <w:sz w:val="24"/>
          <w:szCs w:val="24"/>
        </w:rPr>
        <w:t>建</w:t>
      </w:r>
      <w:r>
        <w:rPr>
          <w:rFonts w:hint="eastAsia" w:ascii="宋体" w:hAnsi="宋体" w:eastAsia="宋体"/>
          <w:color w:val="000000"/>
          <w:spacing w:val="-3"/>
          <w:sz w:val="24"/>
          <w:szCs w:val="24"/>
        </w:rPr>
        <w:t>设一批高起点</w:t>
      </w:r>
      <w:r>
        <w:rPr>
          <w:rFonts w:ascii="宋体" w:hAnsi="宋体" w:eastAsia="宋体"/>
          <w:color w:val="000000"/>
          <w:spacing w:val="-3"/>
          <w:sz w:val="24"/>
          <w:szCs w:val="24"/>
        </w:rPr>
        <w:t>、高质量、高标准</w:t>
      </w:r>
      <w:r>
        <w:rPr>
          <w:rFonts w:hint="eastAsia" w:ascii="宋体" w:hAnsi="宋体" w:eastAsia="宋体"/>
          <w:color w:val="000000"/>
          <w:spacing w:val="-3"/>
          <w:sz w:val="24"/>
          <w:szCs w:val="24"/>
        </w:rPr>
        <w:t>的</w:t>
      </w:r>
      <w:r>
        <w:rPr>
          <w:rFonts w:ascii="宋体" w:hAnsi="宋体" w:eastAsia="宋体"/>
          <w:color w:val="000000"/>
          <w:spacing w:val="-3"/>
          <w:sz w:val="24"/>
          <w:szCs w:val="24"/>
        </w:rPr>
        <w:t>国际化</w:t>
      </w:r>
      <w:r>
        <w:rPr>
          <w:rFonts w:hint="eastAsia" w:ascii="宋体" w:hAnsi="宋体" w:eastAsia="宋体"/>
          <w:color w:val="000000"/>
          <w:spacing w:val="-3"/>
          <w:sz w:val="24"/>
          <w:szCs w:val="24"/>
        </w:rPr>
        <w:t>科技创新</w:t>
      </w:r>
      <w:r>
        <w:rPr>
          <w:rFonts w:ascii="宋体" w:hAnsi="宋体" w:eastAsia="宋体"/>
          <w:color w:val="000000"/>
          <w:spacing w:val="-3"/>
          <w:sz w:val="24"/>
          <w:szCs w:val="24"/>
        </w:rPr>
        <w:t>研发平台。</w:t>
      </w:r>
      <w:r>
        <w:rPr>
          <w:rFonts w:hint="eastAsia" w:ascii="宋体" w:hAnsi="宋体" w:eastAsia="宋体"/>
          <w:color w:val="000000"/>
          <w:spacing w:val="-3"/>
          <w:sz w:val="24"/>
          <w:szCs w:val="24"/>
        </w:rPr>
        <w:t>加强与粤港澳大湾区</w:t>
      </w:r>
      <w:r>
        <w:rPr>
          <w:rFonts w:ascii="宋体" w:hAnsi="宋体" w:eastAsia="宋体"/>
          <w:color w:val="000000"/>
          <w:spacing w:val="-3"/>
          <w:sz w:val="24"/>
          <w:szCs w:val="24"/>
        </w:rPr>
        <w:t>优质</w:t>
      </w:r>
      <w:r>
        <w:rPr>
          <w:rFonts w:ascii="宋体" w:hAnsi="宋体" w:eastAsia="宋体"/>
          <w:color w:val="000000"/>
          <w:sz w:val="24"/>
          <w:szCs w:val="24"/>
        </w:rPr>
        <w:t>资源</w:t>
      </w:r>
      <w:r>
        <w:rPr>
          <w:rFonts w:hint="eastAsia" w:ascii="宋体" w:hAnsi="宋体" w:eastAsia="宋体"/>
          <w:color w:val="000000"/>
          <w:sz w:val="24"/>
          <w:szCs w:val="24"/>
        </w:rPr>
        <w:t>合作</w:t>
      </w:r>
      <w:r>
        <w:rPr>
          <w:rFonts w:ascii="宋体" w:hAnsi="宋体" w:eastAsia="宋体"/>
          <w:color w:val="000000"/>
          <w:sz w:val="24"/>
          <w:szCs w:val="24"/>
        </w:rPr>
        <w:t>，</w:t>
      </w:r>
      <w:r>
        <w:rPr>
          <w:rFonts w:hint="eastAsia" w:ascii="宋体" w:hAnsi="宋体" w:eastAsia="宋体"/>
          <w:color w:val="000000"/>
          <w:sz w:val="24"/>
          <w:szCs w:val="24"/>
        </w:rPr>
        <w:t>研发转化一批引领性、突破性创新成果，提高大湾区科技成果转化水平。</w:t>
      </w:r>
      <w:r>
        <w:rPr>
          <w:rFonts w:hint="eastAsia" w:ascii="宋体" w:hAnsi="宋体" w:eastAsia="宋体"/>
          <w:sz w:val="24"/>
          <w:szCs w:val="24"/>
        </w:rPr>
        <w:t>（责任单位：市发展改革委、</w:t>
      </w:r>
      <w:r>
        <w:rPr>
          <w:rFonts w:hint="eastAsia" w:ascii="宋体" w:hAnsi="宋体" w:eastAsia="宋体" w:cs="楷体"/>
          <w:color w:val="000000"/>
          <w:sz w:val="24"/>
          <w:szCs w:val="24"/>
        </w:rPr>
        <w:t>市</w:t>
      </w:r>
      <w:r>
        <w:rPr>
          <w:rFonts w:hint="eastAsia" w:ascii="宋体" w:hAnsi="宋体" w:eastAsia="宋体"/>
          <w:sz w:val="24"/>
          <w:szCs w:val="24"/>
        </w:rPr>
        <w:t>科技创新委、</w:t>
      </w:r>
      <w:r>
        <w:rPr>
          <w:rFonts w:hint="eastAsia" w:ascii="宋体" w:hAnsi="宋体" w:eastAsia="宋体" w:cs="楷体"/>
          <w:color w:val="000000"/>
          <w:sz w:val="24"/>
          <w:szCs w:val="24"/>
        </w:rPr>
        <w:t>市</w:t>
      </w:r>
      <w:r>
        <w:rPr>
          <w:rFonts w:hint="eastAsia" w:ascii="宋体" w:hAnsi="宋体" w:eastAsia="宋体"/>
          <w:sz w:val="24"/>
          <w:szCs w:val="24"/>
        </w:rPr>
        <w:t>工业和信息化局、</w:t>
      </w:r>
      <w:r>
        <w:rPr>
          <w:rFonts w:hint="eastAsia" w:ascii="宋体" w:hAnsi="宋体" w:eastAsia="宋体" w:cs="楷体"/>
          <w:color w:val="000000"/>
          <w:sz w:val="24"/>
          <w:szCs w:val="24"/>
        </w:rPr>
        <w:t>市</w:t>
      </w:r>
      <w:r>
        <w:rPr>
          <w:rFonts w:hint="eastAsia" w:ascii="宋体" w:hAnsi="宋体" w:eastAsia="宋体"/>
          <w:sz w:val="24"/>
          <w:szCs w:val="24"/>
        </w:rPr>
        <w:t>财政局，各区）</w:t>
      </w:r>
    </w:p>
    <w:tbl>
      <w:tblPr>
        <w:tblStyle w:val="3"/>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5"/>
              <w:overflowPunct w:val="0"/>
              <w:spacing w:before="62" w:beforeLines="20" w:after="62" w:afterLines="20" w:line="0" w:lineRule="atLeast"/>
              <w:ind w:firstLine="0" w:firstLineChars="0"/>
              <w:jc w:val="center"/>
              <w:rPr>
                <w:rFonts w:ascii="黑体" w:hAnsi="宋体" w:eastAsia="黑体" w:cs="楷体_GB2312"/>
                <w:kern w:val="0"/>
                <w:sz w:val="21"/>
                <w:szCs w:val="21"/>
              </w:rPr>
            </w:pPr>
            <w:r>
              <w:rPr>
                <w:rFonts w:hint="eastAsia" w:ascii="黑体" w:hAnsi="宋体" w:eastAsia="黑体" w:cs="楷体_GB2312"/>
                <w:kern w:val="0"/>
                <w:sz w:val="21"/>
                <w:szCs w:val="21"/>
              </w:rPr>
              <w:t>专栏7  大湾区</w:t>
            </w:r>
            <w:r>
              <w:rPr>
                <w:rFonts w:ascii="黑体" w:hAnsi="宋体" w:eastAsia="黑体" w:cs="楷体_GB2312"/>
                <w:kern w:val="0"/>
                <w:sz w:val="21"/>
                <w:szCs w:val="21"/>
              </w:rPr>
              <w:t>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5"/>
              <w:overflowPunct w:val="0"/>
              <w:spacing w:line="304" w:lineRule="exact"/>
              <w:ind w:left="-42" w:leftChars="-20" w:right="-42" w:rightChars="-20" w:firstLine="420"/>
              <w:rPr>
                <w:rFonts w:ascii="宋体" w:hAnsi="宋体" w:eastAsia="宋体" w:cs="Calibri"/>
                <w:sz w:val="21"/>
                <w:szCs w:val="21"/>
              </w:rPr>
            </w:pPr>
            <w:r>
              <w:rPr>
                <w:rFonts w:hint="eastAsia" w:ascii="宋体" w:hAnsi="宋体" w:eastAsia="宋体" w:cs="Calibri"/>
                <w:sz w:val="21"/>
                <w:szCs w:val="21"/>
              </w:rPr>
              <w:t>（</w:t>
            </w:r>
            <w:r>
              <w:rPr>
                <w:rFonts w:ascii="宋体" w:hAnsi="宋体" w:eastAsia="宋体" w:cs="Calibri"/>
                <w:sz w:val="21"/>
                <w:szCs w:val="21"/>
              </w:rPr>
              <w:t>1</w:t>
            </w:r>
            <w:r>
              <w:rPr>
                <w:rFonts w:hint="eastAsia" w:ascii="宋体" w:hAnsi="宋体" w:eastAsia="宋体" w:cs="Calibri"/>
                <w:sz w:val="21"/>
                <w:szCs w:val="21"/>
              </w:rPr>
              <w:t>）构建粤港澳大湾区创新高地。推进光明科学城、深港科技创新合作区建设，以创新和科技为主轴，建立重点科研合作基地。高起点、高质量、高标准打造深港生物医药创新研究院、深港高端医疗设备创新中心、深港脑科学创新研究院、深澳中医药创新研究院、深圳市尼奥基因组学研究中心及各类前瞻性国际化综合性研发平台等创新平台。</w:t>
            </w:r>
          </w:p>
          <w:p>
            <w:pPr>
              <w:pStyle w:val="5"/>
              <w:overflowPunct w:val="0"/>
              <w:spacing w:line="304" w:lineRule="exact"/>
              <w:ind w:left="-42" w:leftChars="-20" w:right="-42" w:rightChars="-20" w:firstLine="420"/>
              <w:rPr>
                <w:rFonts w:ascii="宋体" w:hAnsi="宋体" w:eastAsia="宋体" w:cs="Calibri"/>
                <w:sz w:val="21"/>
                <w:szCs w:val="21"/>
              </w:rPr>
            </w:pPr>
            <w:r>
              <w:rPr>
                <w:rFonts w:hint="eastAsia" w:ascii="宋体" w:hAnsi="宋体" w:eastAsia="宋体" w:cs="Calibri"/>
                <w:sz w:val="21"/>
                <w:szCs w:val="21"/>
              </w:rPr>
              <w:t>（2）推进我市医疗机构与香港</w:t>
            </w:r>
            <w:r>
              <w:rPr>
                <w:rFonts w:ascii="宋体" w:hAnsi="宋体" w:eastAsia="宋体" w:cs="Calibri"/>
                <w:sz w:val="21"/>
                <w:szCs w:val="21"/>
              </w:rPr>
              <w:t>大学临床实验中心等</w:t>
            </w:r>
            <w:r>
              <w:rPr>
                <w:rFonts w:hint="eastAsia" w:ascii="宋体" w:hAnsi="宋体" w:eastAsia="宋体" w:cs="Calibri"/>
                <w:sz w:val="21"/>
                <w:szCs w:val="21"/>
              </w:rPr>
              <w:t>港澳</w:t>
            </w:r>
            <w:r>
              <w:rPr>
                <w:rFonts w:ascii="宋体" w:hAnsi="宋体" w:eastAsia="宋体" w:cs="Calibri"/>
                <w:sz w:val="21"/>
                <w:szCs w:val="21"/>
              </w:rPr>
              <w:t>医疗</w:t>
            </w:r>
            <w:r>
              <w:rPr>
                <w:rFonts w:hint="eastAsia" w:ascii="宋体" w:hAnsi="宋体" w:eastAsia="宋体" w:cs="Calibri"/>
                <w:sz w:val="21"/>
                <w:szCs w:val="21"/>
              </w:rPr>
              <w:t>机构开展药物临床试验，打造覆盖粤港澳大湾区、具有国际标准的多中心药物临床试验平台。</w:t>
            </w:r>
          </w:p>
          <w:p>
            <w:pPr>
              <w:pStyle w:val="5"/>
              <w:overflowPunct w:val="0"/>
              <w:spacing w:line="304" w:lineRule="exact"/>
              <w:ind w:left="-42" w:leftChars="-20" w:right="-42" w:rightChars="-20" w:firstLine="420"/>
              <w:rPr>
                <w:rFonts w:ascii="宋体" w:hAnsi="宋体" w:eastAsia="宋体" w:cs="Calibri"/>
                <w:sz w:val="21"/>
                <w:szCs w:val="21"/>
              </w:rPr>
            </w:pPr>
            <w:r>
              <w:rPr>
                <w:rFonts w:hint="eastAsia" w:ascii="宋体" w:hAnsi="宋体" w:eastAsia="宋体" w:cs="Calibri"/>
                <w:sz w:val="21"/>
                <w:szCs w:val="21"/>
              </w:rPr>
              <w:t>（3）支持搭建体细胞治疗临床研究和转化应用平台。支持我市医疗机构联合粤港澳大湾区的优质资源建设全球领先的细胞与基因治疗标准与检测研究院，争取获得国家第三方检测实验室资质，推进我市干细胞等先进技术创新应用。</w:t>
            </w:r>
          </w:p>
        </w:tc>
      </w:tr>
    </w:tbl>
    <w:p>
      <w:pPr>
        <w:overflowPunct w:val="0"/>
        <w:spacing w:before="93" w:beforeLines="30" w:line="400" w:lineRule="atLeast"/>
        <w:ind w:firstLine="480" w:firstLineChars="200"/>
        <w:rPr>
          <w:rFonts w:ascii="黑体" w:hAnsi="宋体" w:eastAsia="黑体" w:cs="黑体"/>
          <w:color w:val="000000"/>
          <w:sz w:val="24"/>
          <w:szCs w:val="24"/>
        </w:rPr>
      </w:pPr>
      <w:r>
        <w:rPr>
          <w:rFonts w:hint="eastAsia" w:ascii="黑体" w:hAnsi="宋体" w:eastAsia="黑体" w:cs="黑体"/>
          <w:color w:val="000000"/>
          <w:sz w:val="24"/>
          <w:szCs w:val="24"/>
        </w:rPr>
        <w:t>八、加强监管体系建设，维护行业秩序</w:t>
      </w:r>
    </w:p>
    <w:p>
      <w:pPr>
        <w:pStyle w:val="5"/>
        <w:overflowPunct w:val="0"/>
        <w:spacing w:after="156" w:afterLines="50" w:line="400" w:lineRule="atLeast"/>
        <w:ind w:firstLine="480"/>
        <w:rPr>
          <w:rFonts w:ascii="宋体" w:hAnsi="宋体" w:eastAsia="宋体"/>
          <w:sz w:val="24"/>
          <w:szCs w:val="24"/>
        </w:rPr>
      </w:pPr>
      <w:r>
        <w:rPr>
          <w:rFonts w:hint="eastAsia" w:ascii="宋体" w:hAnsi="宋体" w:eastAsia="宋体"/>
          <w:sz w:val="24"/>
          <w:szCs w:val="24"/>
        </w:rPr>
        <w:t>建立健全知识产权保护体系，加快完善知识产权保护制度，严厉打击侵犯知识产权行为，保障人民切身利益。加强药品、器械等安全监管，确保药品、器械等产品质量安全，确保人民群众生命健康和安全。组建深圳市生物医药伦理审查委员会，规范伦理审查，推进伦理道德教育，提升从业人员素养。加强医疗大数据法规和标准体系建设，创造良好的行业发展环境。（责任单位：市市场监管局、</w:t>
      </w:r>
      <w:r>
        <w:rPr>
          <w:rFonts w:hint="eastAsia" w:ascii="宋体" w:hAnsi="宋体" w:eastAsia="宋体" w:cs="楷体"/>
          <w:color w:val="000000"/>
          <w:sz w:val="24"/>
          <w:szCs w:val="24"/>
        </w:rPr>
        <w:t>市</w:t>
      </w:r>
      <w:r>
        <w:rPr>
          <w:rFonts w:hint="eastAsia" w:ascii="宋体" w:hAnsi="宋体" w:eastAsia="宋体"/>
          <w:sz w:val="24"/>
          <w:szCs w:val="24"/>
        </w:rPr>
        <w:t>发展改革委、</w:t>
      </w:r>
      <w:r>
        <w:rPr>
          <w:rFonts w:hint="eastAsia" w:ascii="宋体" w:hAnsi="宋体" w:eastAsia="宋体" w:cs="楷体"/>
          <w:color w:val="000000"/>
          <w:sz w:val="24"/>
          <w:szCs w:val="24"/>
        </w:rPr>
        <w:t>市</w:t>
      </w:r>
      <w:r>
        <w:rPr>
          <w:rFonts w:hint="eastAsia" w:ascii="宋体" w:hAnsi="宋体" w:eastAsia="宋体"/>
          <w:sz w:val="24"/>
          <w:szCs w:val="24"/>
        </w:rPr>
        <w:t>卫生健康委、</w:t>
      </w:r>
      <w:r>
        <w:rPr>
          <w:rFonts w:hint="eastAsia" w:ascii="宋体" w:hAnsi="宋体" w:eastAsia="宋体" w:cs="楷体"/>
          <w:color w:val="000000"/>
          <w:sz w:val="24"/>
          <w:szCs w:val="24"/>
        </w:rPr>
        <w:t>市</w:t>
      </w:r>
      <w:r>
        <w:rPr>
          <w:rFonts w:hint="eastAsia" w:ascii="宋体" w:hAnsi="宋体" w:eastAsia="宋体"/>
          <w:sz w:val="24"/>
          <w:szCs w:val="24"/>
        </w:rPr>
        <w:t>科技创新委）</w:t>
      </w:r>
    </w:p>
    <w:tbl>
      <w:tblPr>
        <w:tblStyle w:val="3"/>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62" w:type="dxa"/>
            <w:noWrap w:val="0"/>
            <w:tcMar>
              <w:top w:w="0" w:type="dxa"/>
              <w:left w:w="108" w:type="dxa"/>
              <w:bottom w:w="0" w:type="dxa"/>
              <w:right w:w="108" w:type="dxa"/>
            </w:tcMar>
            <w:vAlign w:val="center"/>
          </w:tcPr>
          <w:p>
            <w:pPr>
              <w:pStyle w:val="5"/>
              <w:overflowPunct w:val="0"/>
              <w:spacing w:before="62" w:beforeLines="20" w:after="62" w:afterLines="20" w:line="0" w:lineRule="atLeast"/>
              <w:ind w:firstLine="0" w:firstLineChars="0"/>
              <w:jc w:val="center"/>
              <w:rPr>
                <w:rFonts w:ascii="黑体" w:hAnsi="宋体" w:eastAsia="黑体" w:cs="楷体_GB2312"/>
                <w:kern w:val="0"/>
                <w:sz w:val="21"/>
                <w:szCs w:val="21"/>
              </w:rPr>
            </w:pPr>
            <w:r>
              <w:rPr>
                <w:rFonts w:hint="eastAsia" w:ascii="黑体" w:hAnsi="宋体" w:eastAsia="黑体" w:cs="楷体_GB2312"/>
                <w:kern w:val="0"/>
                <w:sz w:val="21"/>
                <w:szCs w:val="21"/>
              </w:rPr>
              <w:t>专栏8  监管体系建设工程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62" w:type="dxa"/>
            <w:noWrap w:val="0"/>
            <w:tcMar>
              <w:top w:w="0" w:type="dxa"/>
              <w:left w:w="108" w:type="dxa"/>
              <w:bottom w:w="0" w:type="dxa"/>
              <w:right w:w="108" w:type="dxa"/>
            </w:tcMar>
            <w:vAlign w:val="center"/>
          </w:tcPr>
          <w:p>
            <w:pPr>
              <w:pStyle w:val="5"/>
              <w:overflowPunct w:val="0"/>
              <w:spacing w:line="304" w:lineRule="exact"/>
              <w:ind w:left="-42" w:leftChars="-20" w:right="-42" w:rightChars="-20" w:firstLine="420"/>
              <w:rPr>
                <w:rFonts w:ascii="宋体" w:hAnsi="宋体" w:eastAsia="宋体"/>
                <w:color w:val="000000"/>
                <w:sz w:val="21"/>
                <w:szCs w:val="21"/>
              </w:rPr>
            </w:pPr>
            <w:r>
              <w:rPr>
                <w:rFonts w:hint="eastAsia" w:ascii="宋体" w:hAnsi="宋体" w:eastAsia="宋体"/>
                <w:sz w:val="21"/>
                <w:szCs w:val="21"/>
              </w:rPr>
              <w:t>（1）建立健全知识产权保护体系。聚焦产业发展，推进完善产业知识产权保护体系建立，加快中国（深圳）知识产权保护中心建设。依法严厉打击侵犯知识产权行为，加强行政执法和刑事司法衔接，建立知识产权纠纷行政、司法、仲裁、调解、行业自律等多元解决机制。</w:t>
            </w:r>
          </w:p>
          <w:p>
            <w:pPr>
              <w:pStyle w:val="5"/>
              <w:overflowPunct w:val="0"/>
              <w:spacing w:line="304" w:lineRule="exact"/>
              <w:ind w:left="-42" w:leftChars="-20" w:right="-42" w:rightChars="-20" w:firstLine="420"/>
              <w:rPr>
                <w:rFonts w:ascii="宋体" w:hAnsi="宋体" w:eastAsia="宋体"/>
                <w:sz w:val="21"/>
                <w:szCs w:val="21"/>
              </w:rPr>
            </w:pPr>
            <w:r>
              <w:rPr>
                <w:rFonts w:hint="eastAsia" w:ascii="宋体" w:hAnsi="宋体" w:eastAsia="宋体"/>
                <w:sz w:val="21"/>
                <w:szCs w:val="21"/>
              </w:rPr>
              <w:t>（2）保障药品、器械等产品质量安全。积极引导生产企业加强产品上市后安全性监测工作，落实上市许可持有人法律责任，及时掌握产品安全信息，不断降低产品风险并提高产品竞争力。构建完善的药品安全追溯体系，充分运用信息技术、大数据手段，抓紧推进相关立项筹备工作，保障药品可追溯。</w:t>
            </w:r>
          </w:p>
          <w:p>
            <w:pPr>
              <w:pStyle w:val="5"/>
              <w:overflowPunct w:val="0"/>
              <w:spacing w:line="304" w:lineRule="exact"/>
              <w:ind w:left="-42" w:leftChars="-20" w:right="-42" w:rightChars="-20" w:firstLine="420"/>
              <w:rPr>
                <w:rFonts w:ascii="宋体" w:hAnsi="宋体" w:eastAsia="宋体"/>
                <w:sz w:val="21"/>
                <w:szCs w:val="21"/>
              </w:rPr>
            </w:pPr>
            <w:r>
              <w:rPr>
                <w:rFonts w:hint="eastAsia" w:ascii="宋体" w:hAnsi="宋体" w:eastAsia="宋体"/>
                <w:sz w:val="21"/>
                <w:szCs w:val="21"/>
              </w:rPr>
              <w:t>（3）搭建第三方专业监测平台。在药物、医疗器械、细胞储存和治疗、基因治疗等质量安全监测领域，建设覆盖全市的标准统一的质量监测平台，为生物医学新技术产业化协同发展提供基础保障。</w:t>
            </w:r>
          </w:p>
          <w:p>
            <w:pPr>
              <w:pStyle w:val="5"/>
              <w:overflowPunct w:val="0"/>
              <w:spacing w:line="304" w:lineRule="exact"/>
              <w:ind w:left="-42" w:leftChars="-20" w:right="-42" w:rightChars="-20" w:firstLine="420"/>
              <w:rPr>
                <w:rFonts w:ascii="宋体" w:hAnsi="宋体" w:eastAsia="宋体"/>
                <w:sz w:val="21"/>
                <w:szCs w:val="21"/>
              </w:rPr>
            </w:pPr>
            <w:r>
              <w:rPr>
                <w:rFonts w:hint="eastAsia" w:ascii="宋体" w:hAnsi="宋体" w:eastAsia="宋体"/>
                <w:sz w:val="21"/>
                <w:szCs w:val="21"/>
              </w:rPr>
              <w:t>（4）组建深圳市生物医药伦理审查委员会。建设全市生物医药研究伦理审查工作规范、技术标准，推动伦理审查与管理工作的制度化、规范化。为全市医疗卫生机构、生物医学相关院校或科研院所、生物医药企业的伦理委员会建设及伦理审查提供技术指导，组织开展生物医学伦理培训和人才培养。</w:t>
            </w:r>
          </w:p>
          <w:p>
            <w:pPr>
              <w:pStyle w:val="5"/>
              <w:overflowPunct w:val="0"/>
              <w:spacing w:line="304" w:lineRule="exact"/>
              <w:ind w:left="-42" w:leftChars="-20" w:right="-42" w:rightChars="-20" w:firstLine="420"/>
              <w:rPr>
                <w:rFonts w:ascii="宋体" w:hAnsi="宋体" w:eastAsia="宋体"/>
                <w:sz w:val="21"/>
                <w:szCs w:val="21"/>
              </w:rPr>
            </w:pPr>
            <w:r>
              <w:rPr>
                <w:rFonts w:hint="eastAsia" w:ascii="宋体" w:hAnsi="宋体" w:eastAsia="宋体"/>
                <w:sz w:val="21"/>
                <w:szCs w:val="21"/>
              </w:rPr>
              <w:t>（5）推进医疗大数据法规和标准体系建设。厘清公民隐私权和公民知情权界限，保护公民个人信息不被滥用、隐私权不受侵犯。强化大数据从业者风险意识，推进行业自律。建立数据共享和保护的法规和标准，创造良好行业发展环境。</w:t>
            </w:r>
          </w:p>
        </w:tc>
      </w:tr>
    </w:tbl>
    <w:p>
      <w:pPr>
        <w:overflowPunct w:val="0"/>
        <w:spacing w:before="93" w:beforeLines="30" w:line="400" w:lineRule="atLeast"/>
        <w:ind w:firstLine="480" w:firstLineChars="200"/>
        <w:rPr>
          <w:rFonts w:ascii="黑体" w:hAnsi="宋体" w:eastAsia="黑体" w:cs="黑体"/>
          <w:color w:val="000000"/>
          <w:sz w:val="24"/>
          <w:szCs w:val="24"/>
        </w:rPr>
      </w:pPr>
      <w:r>
        <w:rPr>
          <w:rFonts w:hint="eastAsia" w:ascii="黑体" w:hAnsi="宋体" w:eastAsia="黑体" w:cs="黑体"/>
          <w:color w:val="000000"/>
          <w:sz w:val="24"/>
          <w:szCs w:val="24"/>
        </w:rPr>
        <w:t>九、保障措施</w:t>
      </w:r>
    </w:p>
    <w:p>
      <w:pPr>
        <w:pStyle w:val="5"/>
        <w:overflowPunct w:val="0"/>
        <w:spacing w:line="400" w:lineRule="atLeast"/>
        <w:ind w:firstLine="480"/>
        <w:rPr>
          <w:rFonts w:ascii="宋体" w:hAnsi="宋体" w:eastAsia="宋体"/>
          <w:color w:val="000000"/>
          <w:sz w:val="24"/>
          <w:szCs w:val="24"/>
        </w:rPr>
      </w:pPr>
      <w:r>
        <w:rPr>
          <w:rFonts w:hint="eastAsia" w:ascii="宋体" w:hAnsi="宋体" w:eastAsia="宋体"/>
          <w:color w:val="000000"/>
          <w:sz w:val="24"/>
          <w:szCs w:val="24"/>
        </w:rPr>
        <w:t>（一）组织保障。</w:t>
      </w:r>
    </w:p>
    <w:p>
      <w:pPr>
        <w:pStyle w:val="5"/>
        <w:overflowPunct w:val="0"/>
        <w:spacing w:line="400" w:lineRule="atLeast"/>
        <w:ind w:firstLine="480"/>
        <w:rPr>
          <w:rFonts w:ascii="宋体" w:hAnsi="宋体" w:eastAsia="宋体"/>
          <w:sz w:val="24"/>
          <w:szCs w:val="24"/>
        </w:rPr>
      </w:pPr>
      <w:r>
        <w:rPr>
          <w:rFonts w:hint="eastAsia" w:ascii="宋体" w:hAnsi="宋体" w:eastAsia="宋体"/>
          <w:sz w:val="24"/>
          <w:szCs w:val="24"/>
        </w:rPr>
        <w:t>市发展改革委、市工业和信息化局、市科技创新委牵头，市教育局、市财政局、市卫生健康委、市市场监管局、市商务局、市人力资源保障局参与，建立市生物医药产业发展工作协调机制，加强统筹谋划和协调联动，确保各项工作顺利推进。</w:t>
      </w:r>
    </w:p>
    <w:p>
      <w:pPr>
        <w:pStyle w:val="5"/>
        <w:overflowPunct w:val="0"/>
        <w:spacing w:line="400" w:lineRule="atLeast"/>
        <w:ind w:firstLine="480"/>
        <w:rPr>
          <w:rFonts w:ascii="宋体" w:hAnsi="宋体" w:eastAsia="宋体"/>
          <w:color w:val="000000"/>
          <w:sz w:val="24"/>
          <w:szCs w:val="24"/>
        </w:rPr>
      </w:pPr>
      <w:r>
        <w:rPr>
          <w:rFonts w:hint="eastAsia" w:ascii="宋体" w:hAnsi="宋体" w:eastAsia="宋体"/>
          <w:color w:val="000000"/>
          <w:sz w:val="24"/>
          <w:szCs w:val="24"/>
        </w:rPr>
        <w:t>（二）资金保障。</w:t>
      </w:r>
    </w:p>
    <w:p>
      <w:pPr>
        <w:pStyle w:val="5"/>
        <w:overflowPunct w:val="0"/>
        <w:spacing w:line="400" w:lineRule="atLeast"/>
        <w:ind w:firstLine="480"/>
        <w:rPr>
          <w:rFonts w:ascii="宋体" w:hAnsi="宋体" w:eastAsia="宋体"/>
          <w:color w:val="000000"/>
          <w:sz w:val="24"/>
          <w:szCs w:val="24"/>
        </w:rPr>
      </w:pPr>
      <w:r>
        <w:rPr>
          <w:rFonts w:hint="eastAsia" w:ascii="宋体" w:hAnsi="宋体" w:eastAsia="宋体"/>
          <w:color w:val="000000"/>
          <w:sz w:val="24"/>
          <w:szCs w:val="24"/>
        </w:rPr>
        <w:t>深入实施财政支持政策，做好项目储备。加强全市</w:t>
      </w:r>
      <w:r>
        <w:rPr>
          <w:rFonts w:ascii="宋体" w:hAnsi="宋体" w:eastAsia="宋体"/>
          <w:color w:val="000000"/>
          <w:sz w:val="24"/>
          <w:szCs w:val="24"/>
        </w:rPr>
        <w:t>高位统筹，加大对各产业园区政策和资金支持。</w:t>
      </w:r>
      <w:r>
        <w:rPr>
          <w:rFonts w:hint="eastAsia" w:ascii="宋体" w:hAnsi="宋体" w:eastAsia="宋体"/>
          <w:color w:val="000000"/>
          <w:sz w:val="24"/>
          <w:szCs w:val="24"/>
        </w:rPr>
        <w:t>探讨在政府引导基金基础上增设产业专项子基金，撬动社会资本投入，激活市场主体活力，吸引产业投资基金和创业投资机构投资新药、高端医疗器械项目及生物医药产业园区建设，建立覆盖全链条的资本支持方式。</w:t>
      </w:r>
    </w:p>
    <w:p>
      <w:pPr>
        <w:pStyle w:val="5"/>
        <w:overflowPunct w:val="0"/>
        <w:spacing w:line="400" w:lineRule="atLeast"/>
        <w:ind w:firstLine="480"/>
        <w:rPr>
          <w:rFonts w:ascii="宋体" w:hAnsi="宋体" w:eastAsia="宋体"/>
          <w:color w:val="000000"/>
          <w:sz w:val="24"/>
          <w:szCs w:val="24"/>
        </w:rPr>
      </w:pPr>
      <w:r>
        <w:rPr>
          <w:rFonts w:hint="eastAsia" w:ascii="宋体" w:hAnsi="宋体" w:eastAsia="宋体"/>
          <w:color w:val="000000"/>
          <w:sz w:val="24"/>
          <w:szCs w:val="24"/>
        </w:rPr>
        <w:t>（三）人才保障。</w:t>
      </w:r>
    </w:p>
    <w:p>
      <w:pPr>
        <w:pStyle w:val="5"/>
        <w:overflowPunct w:val="0"/>
        <w:spacing w:line="400" w:lineRule="atLeast"/>
        <w:ind w:firstLine="480"/>
        <w:rPr>
          <w:rFonts w:ascii="宋体" w:hAnsi="宋体" w:eastAsia="宋体"/>
          <w:sz w:val="24"/>
          <w:szCs w:val="24"/>
        </w:rPr>
      </w:pPr>
      <w:r>
        <w:rPr>
          <w:rFonts w:hint="eastAsia" w:ascii="宋体" w:hAnsi="宋体" w:eastAsia="宋体"/>
          <w:sz w:val="24"/>
          <w:szCs w:val="24"/>
        </w:rPr>
        <w:t>加快引进生物医药产业高端人才，实现人才资源配置和产业优化升级的高端化、高匹配。搭建专家与企业交流平台，为创新创业人员提供必要的环境和条件。加强高校生物医药学科建设和专业配置，引导高校和企业围绕需求建立产学研合作机制，培养一批专业能力强、有创新活力的本土人才队伍。</w:t>
      </w:r>
    </w:p>
    <w:p>
      <w:pPr>
        <w:pStyle w:val="5"/>
        <w:overflowPunct w:val="0"/>
        <w:spacing w:line="400" w:lineRule="atLeast"/>
        <w:ind w:firstLine="480"/>
        <w:rPr>
          <w:rFonts w:ascii="宋体" w:hAnsi="宋体" w:eastAsia="宋体"/>
          <w:color w:val="000000"/>
          <w:sz w:val="24"/>
          <w:szCs w:val="24"/>
        </w:rPr>
      </w:pPr>
      <w:r>
        <w:rPr>
          <w:rFonts w:hint="eastAsia" w:ascii="宋体" w:hAnsi="宋体" w:eastAsia="宋体"/>
          <w:color w:val="000000"/>
          <w:sz w:val="24"/>
          <w:szCs w:val="24"/>
        </w:rPr>
        <w:t>（四）空间保障。</w:t>
      </w:r>
    </w:p>
    <w:p>
      <w:pPr>
        <w:pStyle w:val="5"/>
        <w:overflowPunct w:val="0"/>
        <w:spacing w:line="400" w:lineRule="atLeast"/>
        <w:ind w:firstLine="480"/>
        <w:rPr>
          <w:rFonts w:ascii="宋体" w:hAnsi="宋体" w:eastAsia="宋体"/>
          <w:sz w:val="24"/>
          <w:szCs w:val="24"/>
        </w:rPr>
      </w:pPr>
      <w:r>
        <w:rPr>
          <w:rFonts w:hint="eastAsia" w:ascii="宋体" w:hAnsi="宋体" w:eastAsia="宋体"/>
          <w:color w:val="000000"/>
          <w:kern w:val="0"/>
          <w:sz w:val="24"/>
          <w:szCs w:val="24"/>
        </w:rPr>
        <w:t>集中梳理各区生物医药产业发展优势资源，统筹创新型产业用房和创客空间、孵化器、加速器、产业园等社会资源，为企业提供全生命周期空间保障。推广“先租后让、租让结合”产业用地供应方式，降低产业项目土地成本，保障重大产业项目落地。</w:t>
      </w:r>
    </w:p>
    <w:p>
      <w:pPr>
        <w:pStyle w:val="5"/>
        <w:overflowPunct w:val="0"/>
        <w:spacing w:line="400" w:lineRule="atLeast"/>
        <w:ind w:firstLine="480"/>
        <w:rPr>
          <w:rFonts w:hint="eastAsia" w:ascii="黑体" w:hAnsi="宋体" w:eastAsia="黑体"/>
          <w:kern w:val="0"/>
          <w:sz w:val="24"/>
          <w:szCs w:val="24"/>
        </w:rPr>
      </w:pPr>
      <w:r>
        <w:rPr>
          <w:rFonts w:hint="eastAsia" w:ascii="黑体" w:hAnsi="宋体" w:eastAsia="黑体"/>
          <w:kern w:val="0"/>
          <w:sz w:val="24"/>
          <w:szCs w:val="24"/>
        </w:rPr>
        <w:t>十、实施期限</w:t>
      </w:r>
    </w:p>
    <w:p>
      <w:pPr>
        <w:pStyle w:val="5"/>
        <w:overflowPunct w:val="0"/>
        <w:spacing w:line="400" w:lineRule="atLeast"/>
        <w:ind w:firstLine="480"/>
        <w:rPr>
          <w:rFonts w:ascii="宋体" w:hAnsi="宋体" w:eastAsia="宋体"/>
          <w:kern w:val="0"/>
          <w:sz w:val="24"/>
          <w:szCs w:val="24"/>
        </w:rPr>
      </w:pPr>
      <w:r>
        <w:rPr>
          <w:rFonts w:hint="eastAsia" w:ascii="宋体" w:hAnsi="宋体" w:eastAsia="宋体"/>
          <w:kern w:val="0"/>
          <w:sz w:val="24"/>
          <w:szCs w:val="24"/>
        </w:rPr>
        <w:t>本行动计划自发布之日起实施，有效期</w:t>
      </w:r>
      <w:r>
        <w:rPr>
          <w:rFonts w:hint="eastAsia" w:ascii="宋体" w:hAnsi="宋体" w:eastAsia="宋体"/>
          <w:spacing w:val="-20"/>
          <w:kern w:val="0"/>
          <w:sz w:val="24"/>
          <w:szCs w:val="24"/>
        </w:rPr>
        <w:t>至2</w:t>
      </w:r>
      <w:r>
        <w:rPr>
          <w:rFonts w:hint="eastAsia" w:ascii="宋体" w:hAnsi="宋体" w:eastAsia="宋体"/>
          <w:kern w:val="0"/>
          <w:sz w:val="24"/>
          <w:szCs w:val="24"/>
        </w:rPr>
        <w:t>02</w:t>
      </w:r>
      <w:r>
        <w:rPr>
          <w:rFonts w:hint="eastAsia" w:ascii="宋体" w:hAnsi="宋体" w:eastAsia="宋体"/>
          <w:spacing w:val="-20"/>
          <w:kern w:val="0"/>
          <w:sz w:val="24"/>
          <w:szCs w:val="24"/>
        </w:rPr>
        <w:t>5年12月31日。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37C1A"/>
    <w:rsid w:val="73A3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ubtitle"/>
    <w:basedOn w:val="1"/>
    <w:next w:val="1"/>
    <w:qFormat/>
    <w:uiPriority w:val="0"/>
    <w:pPr>
      <w:spacing w:before="120" w:after="120" w:line="360" w:lineRule="auto"/>
      <w:ind w:firstLine="200" w:firstLineChars="200"/>
      <w:jc w:val="left"/>
      <w:outlineLvl w:val="1"/>
    </w:pPr>
    <w:rPr>
      <w:rFonts w:ascii="Cambria" w:hAnsi="Cambria" w:eastAsia="仿宋"/>
      <w:bCs/>
      <w:kern w:val="28"/>
      <w:sz w:val="32"/>
      <w:szCs w:val="32"/>
    </w:rPr>
  </w:style>
  <w:style w:type="paragraph" w:customStyle="1" w:styleId="5">
    <w:name w:val="文件正文"/>
    <w:basedOn w:val="2"/>
    <w:qFormat/>
    <w:uiPriority w:val="0"/>
    <w:pPr>
      <w:spacing w:before="0" w:after="0" w:line="560" w:lineRule="exact"/>
      <w:ind w:firstLine="622"/>
      <w:jc w:val="both"/>
      <w:outlineLvl w:val="9"/>
    </w:pPr>
    <w:rPr>
      <w:rFonts w:ascii="仿宋_GB2312" w:hAnsi="仿宋_GB2312" w:eastAsia="仿宋_GB2312" w:cs="仿宋_GB2312"/>
      <w:bCs w:val="0"/>
      <w:kern w:val="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2020-02-20T10:44:00Z</dcterms:created>
  <dc:creator>Jus</dc:creator>
  <cp:lastModifiedBy>Jus</cp:lastModifiedBy>
  <dcterms:modified xsi:type="dcterms:W3CDTF">2020-02-20T10:44:37Z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