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textAlignment w:val="center"/>
        <w:rPr>
          <w:rFonts w:ascii="宋体" w:hAnsi="宋体" w:cs="黑体"/>
          <w:bCs/>
          <w:color w:val="000000"/>
          <w:sz w:val="24"/>
          <w:szCs w:val="24"/>
        </w:rPr>
      </w:pPr>
      <w:r>
        <w:rPr>
          <w:rFonts w:hint="eastAsia" w:ascii="宋体" w:hAnsi="宋体" w:cs="黑体"/>
          <w:bCs/>
          <w:color w:val="000000"/>
          <w:sz w:val="24"/>
          <w:szCs w:val="24"/>
        </w:rPr>
        <w:t>附件</w:t>
      </w:r>
      <w:r>
        <w:rPr>
          <w:rFonts w:ascii="宋体" w:hAnsi="宋体" w:cs="黑体"/>
          <w:bCs/>
          <w:color w:val="000000"/>
          <w:sz w:val="24"/>
          <w:szCs w:val="24"/>
        </w:rPr>
        <w:t>1-3</w:t>
      </w:r>
      <w:bookmarkStart w:id="0" w:name="_GoBack"/>
      <w:bookmarkEnd w:id="0"/>
    </w:p>
    <w:p>
      <w:pPr>
        <w:widowControl/>
        <w:spacing w:line="0" w:lineRule="atLeast"/>
        <w:jc w:val="center"/>
        <w:textAlignment w:val="center"/>
        <w:rPr>
          <w:rFonts w:hint="eastAsia" w:ascii="宋体" w:hAnsi="宋体" w:cs="华文中宋"/>
          <w:color w:val="000000"/>
          <w:kern w:val="0"/>
          <w:sz w:val="36"/>
          <w:szCs w:val="36"/>
        </w:rPr>
      </w:pPr>
      <w:r>
        <w:rPr>
          <w:rFonts w:hint="eastAsia" w:ascii="宋体" w:hAnsi="宋体" w:cs="华文中宋"/>
          <w:color w:val="000000"/>
          <w:kern w:val="0"/>
          <w:sz w:val="36"/>
          <w:szCs w:val="36"/>
        </w:rPr>
        <w:t>深圳市食品安全违法行为记分检查表</w:t>
      </w:r>
    </w:p>
    <w:p>
      <w:pPr>
        <w:widowControl/>
        <w:spacing w:before="48" w:beforeLines="20" w:after="72" w:afterLines="30" w:line="0" w:lineRule="atLeast"/>
        <w:jc w:val="center"/>
        <w:textAlignment w:val="center"/>
        <w:rPr>
          <w:rFonts w:ascii="宋体" w:hAnsi="宋体" w:cs="华文中宋"/>
          <w:color w:val="000000"/>
          <w:kern w:val="0"/>
          <w:sz w:val="36"/>
          <w:szCs w:val="36"/>
        </w:rPr>
      </w:pPr>
      <w:r>
        <w:rPr>
          <w:rFonts w:hint="eastAsia" w:ascii="仿宋_GB2312" w:hAnsi="宋体" w:eastAsia="仿宋_GB2312" w:cs="华文中宋"/>
          <w:bCs/>
          <w:color w:val="000000"/>
          <w:kern w:val="0"/>
          <w:sz w:val="30"/>
          <w:szCs w:val="30"/>
        </w:rPr>
        <w:t>（学校食堂）</w:t>
      </w:r>
    </w:p>
    <w:tbl>
      <w:tblPr>
        <w:tblStyle w:val="4"/>
        <w:tblW w:w="4987" w:type="pct"/>
        <w:jc w:val="center"/>
        <w:tblLayout w:type="fixed"/>
        <w:tblCellMar>
          <w:top w:w="0" w:type="dxa"/>
          <w:left w:w="108" w:type="dxa"/>
          <w:bottom w:w="0" w:type="dxa"/>
          <w:right w:w="108" w:type="dxa"/>
        </w:tblCellMar>
      </w:tblPr>
      <w:tblGrid>
        <w:gridCol w:w="1655"/>
        <w:gridCol w:w="573"/>
        <w:gridCol w:w="10925"/>
        <w:gridCol w:w="799"/>
      </w:tblGrid>
      <w:tr>
        <w:tblPrEx>
          <w:tblCellMar>
            <w:top w:w="0" w:type="dxa"/>
            <w:left w:w="108" w:type="dxa"/>
            <w:bottom w:w="0" w:type="dxa"/>
            <w:right w:w="108" w:type="dxa"/>
          </w:tblCellMar>
        </w:tblPrEx>
        <w:trPr>
          <w:trHeight w:val="284"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检查类别</w:t>
            </w:r>
          </w:p>
        </w:tc>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029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违法违规行为</w:t>
            </w:r>
          </w:p>
        </w:tc>
        <w:tc>
          <w:tcPr>
            <w:tcW w:w="75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记分值</w:t>
            </w:r>
          </w:p>
        </w:tc>
      </w:tr>
      <w:tr>
        <w:tblPrEx>
          <w:tblCellMar>
            <w:top w:w="0" w:type="dxa"/>
            <w:left w:w="108" w:type="dxa"/>
            <w:bottom w:w="0" w:type="dxa"/>
            <w:right w:w="108" w:type="dxa"/>
          </w:tblCellMar>
        </w:tblPrEx>
        <w:trPr>
          <w:trHeight w:val="284" w:hRule="atLeast"/>
          <w:jc w:val="center"/>
        </w:trPr>
        <w:tc>
          <w:tcPr>
            <w:tcW w:w="1560"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一、许可管理</w:t>
            </w:r>
          </w:p>
        </w:tc>
        <w:tc>
          <w:tcPr>
            <w:tcW w:w="540"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c>
          <w:tcPr>
            <w:tcW w:w="10294"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实际经营地址、主体业态、经营项目等事项与食品经营许可证不一致，经营条件不再符合食品安全要求未按要求立即整改或上报。</w:t>
            </w:r>
          </w:p>
        </w:tc>
        <w:tc>
          <w:tcPr>
            <w:tcW w:w="753"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5</w:t>
            </w:r>
          </w:p>
        </w:tc>
      </w:tr>
      <w:tr>
        <w:tblPrEx>
          <w:tblCellMar>
            <w:top w:w="0" w:type="dxa"/>
            <w:left w:w="108" w:type="dxa"/>
            <w:bottom w:w="0" w:type="dxa"/>
            <w:right w:w="108" w:type="dxa"/>
          </w:tblCellMar>
        </w:tblPrEx>
        <w:trPr>
          <w:trHeight w:val="284" w:hRule="atLeast"/>
          <w:jc w:val="center"/>
        </w:trPr>
        <w:tc>
          <w:tcPr>
            <w:tcW w:w="156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二、信息公示</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c>
          <w:tcPr>
            <w:tcW w:w="102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未在经营场所或公共信息平台等方式公示食品经营许可证、量化等级、监督检查记录表、学校食堂从业人员的健康证明、备餐人员操作规范、食品进货来源等信息。</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1</w:t>
            </w:r>
          </w:p>
        </w:tc>
      </w:tr>
    </w:tbl>
    <w:p>
      <w:pPr>
        <w:spacing w:line="240" w:lineRule="exact"/>
        <w:rPr>
          <w:rFonts w:hint="eastAsia"/>
        </w:rPr>
      </w:pPr>
    </w:p>
    <w:tbl>
      <w:tblPr>
        <w:tblStyle w:val="4"/>
        <w:tblW w:w="5039" w:type="pct"/>
        <w:jc w:val="center"/>
        <w:tblLayout w:type="fixed"/>
        <w:tblCellMar>
          <w:top w:w="0" w:type="dxa"/>
          <w:left w:w="108" w:type="dxa"/>
          <w:bottom w:w="0" w:type="dxa"/>
          <w:right w:w="108" w:type="dxa"/>
        </w:tblCellMar>
      </w:tblPr>
      <w:tblGrid>
        <w:gridCol w:w="1790"/>
        <w:gridCol w:w="573"/>
        <w:gridCol w:w="10920"/>
        <w:gridCol w:w="814"/>
      </w:tblGrid>
      <w:tr>
        <w:tblPrEx>
          <w:tblCellMar>
            <w:top w:w="0" w:type="dxa"/>
            <w:left w:w="108" w:type="dxa"/>
            <w:bottom w:w="0" w:type="dxa"/>
            <w:right w:w="108" w:type="dxa"/>
          </w:tblCellMar>
        </w:tblPrEx>
        <w:trPr>
          <w:trHeight w:val="284" w:hRule="atLeast"/>
          <w:jc w:val="center"/>
        </w:trPr>
        <w:tc>
          <w:tcPr>
            <w:tcW w:w="168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检查类别</w:t>
            </w:r>
          </w:p>
        </w:tc>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029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违法违规行为</w:t>
            </w:r>
          </w:p>
        </w:tc>
        <w:tc>
          <w:tcPr>
            <w:tcW w:w="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记分值</w:t>
            </w:r>
          </w:p>
        </w:tc>
      </w:tr>
      <w:tr>
        <w:tblPrEx>
          <w:tblCellMar>
            <w:top w:w="0" w:type="dxa"/>
            <w:left w:w="108" w:type="dxa"/>
            <w:bottom w:w="0" w:type="dxa"/>
            <w:right w:w="108" w:type="dxa"/>
          </w:tblCellMar>
        </w:tblPrEx>
        <w:trPr>
          <w:trHeight w:val="284" w:hRule="atLeast"/>
          <w:jc w:val="center"/>
        </w:trPr>
        <w:tc>
          <w:tcPr>
            <w:tcW w:w="1687" w:type="dxa"/>
            <w:tcBorders>
              <w:top w:val="single" w:color="000000" w:sz="4" w:space="0"/>
              <w:left w:val="single" w:color="000000" w:sz="4" w:space="0"/>
              <w:bottom w:val="nil"/>
              <w:right w:val="single" w:color="000000" w:sz="4" w:space="0"/>
            </w:tcBorders>
            <w:noWrap w:val="0"/>
            <w:vAlign w:val="center"/>
          </w:tcPr>
          <w:p>
            <w:pPr>
              <w:widowControl/>
              <w:spacing w:line="250" w:lineRule="exact"/>
              <w:ind w:left="-42" w:leftChars="-20" w:right="42" w:rightChars="20"/>
              <w:rPr>
                <w:rFonts w:ascii="宋体" w:hAnsi="宋体" w:cs="宋体"/>
                <w:color w:val="000000"/>
                <w:kern w:val="21"/>
                <w:szCs w:val="21"/>
              </w:rPr>
            </w:pPr>
            <w:r>
              <w:rPr>
                <w:rFonts w:hint="eastAsia" w:ascii="宋体" w:hAnsi="宋体" w:cs="宋体"/>
                <w:color w:val="000000"/>
                <w:kern w:val="21"/>
                <w:szCs w:val="21"/>
              </w:rPr>
              <w:t>二、信息公示</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3</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szCs w:val="21"/>
                <w:u w:val="single"/>
              </w:rPr>
            </w:pPr>
            <w:r>
              <w:rPr>
                <w:rFonts w:hint="eastAsia" w:ascii="宋体" w:hAnsi="宋体" w:cs="宋体"/>
                <w:color w:val="000000"/>
                <w:kern w:val="0"/>
                <w:szCs w:val="21"/>
              </w:rPr>
              <w:t>未按要求采用开放橱窗、透明玻璃窗</w:t>
            </w:r>
            <w:r>
              <w:rPr>
                <w:rFonts w:ascii="宋体" w:hAnsi="宋体" w:cs="宋体"/>
                <w:color w:val="000000"/>
                <w:kern w:val="0"/>
                <w:szCs w:val="21"/>
              </w:rPr>
              <w:t>（</w:t>
            </w:r>
            <w:r>
              <w:rPr>
                <w:rFonts w:hint="eastAsia" w:ascii="宋体" w:hAnsi="宋体" w:cs="宋体"/>
                <w:color w:val="000000"/>
                <w:kern w:val="0"/>
                <w:szCs w:val="21"/>
              </w:rPr>
              <w:t>或玻璃幕墙</w:t>
            </w:r>
            <w:r>
              <w:rPr>
                <w:rFonts w:ascii="宋体" w:hAnsi="宋体" w:cs="宋体"/>
                <w:color w:val="000000"/>
                <w:kern w:val="0"/>
                <w:szCs w:val="21"/>
              </w:rPr>
              <w:t>）</w:t>
            </w:r>
            <w:r>
              <w:rPr>
                <w:rFonts w:hint="eastAsia" w:ascii="宋体" w:hAnsi="宋体" w:cs="宋体"/>
                <w:color w:val="000000"/>
                <w:kern w:val="0"/>
                <w:szCs w:val="21"/>
              </w:rPr>
              <w:t>、视频显示、隔断矮墙或设置参观窗口等方式方法，将餐饮服务关键环节进行展示。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kern w:val="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vMerge w:val="restart"/>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5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三、制度管理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4</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szCs w:val="21"/>
                <w:u w:val="single"/>
              </w:rPr>
            </w:pPr>
            <w:r>
              <w:rPr>
                <w:rFonts w:hint="eastAsia" w:ascii="宋体" w:hAnsi="宋体" w:cs="宋体"/>
                <w:color w:val="000000"/>
                <w:kern w:val="0"/>
                <w:szCs w:val="21"/>
              </w:rPr>
              <w:t>未建立从业人员健康和培训、进货查验记录、过程控制要求、场所及设施设备维修保养、餐具饮具清洗消毒、食品添加剂使用管理、集中用餐岗位责任、中小学和幼儿园集中用餐陪餐制度、投诉处理等相应的食品安全管理制度，未建立师生家长食品安全投诉处理及建议渠道。</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000000" w:sz="4" w:space="0"/>
              <w:left w:val="single" w:color="000000" w:sz="4" w:space="0"/>
              <w:bottom w:val="nil"/>
              <w:right w:val="single" w:color="000000" w:sz="4" w:space="0"/>
            </w:tcBorders>
            <w:noWrap w:val="0"/>
            <w:vAlign w:val="center"/>
          </w:tcPr>
          <w:p>
            <w:pPr>
              <w:widowControl/>
              <w:spacing w:line="25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5</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未制定食品安全事故处置方案或内容不符合要求。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000000" w:sz="4" w:space="0"/>
              <w:left w:val="single" w:color="000000" w:sz="4" w:space="0"/>
              <w:bottom w:val="nil"/>
              <w:right w:val="single" w:color="000000" w:sz="4" w:space="0"/>
            </w:tcBorders>
            <w:noWrap w:val="0"/>
            <w:vAlign w:val="center"/>
          </w:tcPr>
          <w:p>
            <w:pPr>
              <w:widowControl/>
              <w:spacing w:line="25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6</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u w:val="single"/>
              </w:rPr>
            </w:pPr>
            <w:r>
              <w:rPr>
                <w:rFonts w:hint="eastAsia" w:ascii="宋体" w:hAnsi="宋体" w:cs="宋体"/>
                <w:color w:val="000000"/>
                <w:kern w:val="21"/>
                <w:szCs w:val="21"/>
              </w:rPr>
              <w:t>自查制度落实不符合要求：（</w:t>
            </w:r>
            <w:r>
              <w:rPr>
                <w:rFonts w:ascii="宋体" w:hAnsi="宋体" w:cs="宋体"/>
                <w:color w:val="000000"/>
                <w:kern w:val="21"/>
                <w:szCs w:val="21"/>
              </w:rPr>
              <w:t>1</w:t>
            </w:r>
            <w:r>
              <w:rPr>
                <w:rFonts w:hint="eastAsia" w:ascii="宋体" w:hAnsi="宋体" w:cs="宋体"/>
                <w:color w:val="000000"/>
                <w:kern w:val="21"/>
                <w:szCs w:val="21"/>
              </w:rPr>
              <w:t>）未建立食品安全自查制度</w:t>
            </w:r>
            <w:r>
              <w:rPr>
                <w:rFonts w:ascii="宋体" w:hAnsi="宋体" w:cs="宋体"/>
                <w:color w:val="000000"/>
                <w:kern w:val="21"/>
                <w:szCs w:val="21"/>
              </w:rPr>
              <w:t>；</w:t>
            </w:r>
            <w:r>
              <w:rPr>
                <w:rFonts w:hint="eastAsia" w:ascii="宋体" w:hAnsi="宋体" w:cs="宋体"/>
                <w:color w:val="000000"/>
                <w:kern w:val="21"/>
                <w:szCs w:val="21"/>
              </w:rPr>
              <w:t>（</w:t>
            </w:r>
            <w:r>
              <w:rPr>
                <w:rFonts w:ascii="宋体" w:hAnsi="宋体" w:cs="宋体"/>
                <w:color w:val="000000"/>
                <w:kern w:val="21"/>
                <w:szCs w:val="21"/>
              </w:rPr>
              <w:t>2</w:t>
            </w:r>
            <w:r>
              <w:rPr>
                <w:rFonts w:hint="eastAsia" w:ascii="宋体" w:hAnsi="宋体" w:cs="宋体"/>
                <w:color w:val="000000"/>
                <w:kern w:val="21"/>
                <w:szCs w:val="21"/>
              </w:rPr>
              <w:t>）未开展食品安全自查并记录；（</w:t>
            </w:r>
            <w:r>
              <w:rPr>
                <w:rFonts w:ascii="宋体" w:hAnsi="宋体" w:cs="宋体"/>
                <w:color w:val="000000"/>
                <w:kern w:val="21"/>
                <w:szCs w:val="21"/>
              </w:rPr>
              <w:t>3</w:t>
            </w:r>
            <w:r>
              <w:rPr>
                <w:rFonts w:hint="eastAsia" w:ascii="宋体" w:hAnsi="宋体" w:cs="宋体"/>
                <w:color w:val="000000"/>
                <w:kern w:val="21"/>
                <w:szCs w:val="21"/>
              </w:rPr>
              <w:t>）自查报告未定期上报监管部门。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四、人员管理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7</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未按要求配备食品安全管理人员或委托专业服务机构履行职责</w:t>
            </w:r>
            <w:r>
              <w:rPr>
                <w:rFonts w:ascii="宋体" w:hAnsi="宋体" w:cs="宋体"/>
                <w:color w:val="000000"/>
                <w:kern w:val="21"/>
                <w:szCs w:val="21"/>
              </w:rPr>
              <w:t>，</w:t>
            </w:r>
            <w:r>
              <w:rPr>
                <w:rFonts w:hint="eastAsia" w:ascii="宋体" w:hAnsi="宋体" w:cs="宋体"/>
                <w:color w:val="000000"/>
                <w:kern w:val="21"/>
                <w:szCs w:val="21"/>
              </w:rPr>
              <w:t>食品安全管理员经监管抽查考核不具备食品安全管理能力或专业知识培训不合格。</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5</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5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8</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接触直接入口食品工作的从业人员无有效健康证明或患有有碍食品安全疾病。</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5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9</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spacing w:val="-4"/>
                <w:kern w:val="21"/>
                <w:szCs w:val="21"/>
              </w:rPr>
            </w:pPr>
            <w:r>
              <w:rPr>
                <w:rFonts w:hint="eastAsia" w:ascii="宋体" w:hAnsi="宋体" w:cs="宋体"/>
                <w:color w:val="000000"/>
                <w:spacing w:val="-4"/>
                <w:kern w:val="21"/>
                <w:szCs w:val="21"/>
              </w:rPr>
              <w:t>从业人员加工经营食品时未穿戴清洁的工作衣帽，加工操作直接入口食品前未按要求洗手消毒，未保持个人卫生。</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5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10</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从业人员未进行食品安全培训。</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kern w:val="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五、环境卫生</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11</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经营场所卫生未保持清洁：地面、墙壁、天花板和门窗等不洁净，排水沟渠不畅通，废弃物不能及时清理，与污染源未达到规定的距离，食品处理区内设有厕所</w:t>
            </w:r>
            <w:r>
              <w:rPr>
                <w:rFonts w:ascii="宋体" w:hAnsi="宋体" w:cs="宋体"/>
                <w:color w:val="000000"/>
                <w:kern w:val="21"/>
                <w:szCs w:val="21"/>
              </w:rPr>
              <w:t>，</w:t>
            </w:r>
            <w:r>
              <w:rPr>
                <w:rFonts w:hint="eastAsia" w:ascii="宋体" w:hAnsi="宋体" w:cs="宋体"/>
                <w:color w:val="000000"/>
                <w:kern w:val="21"/>
                <w:szCs w:val="21"/>
              </w:rPr>
              <w:t>有圈养或宰杀活的禽畜类动物。</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42" w:leftChars="20" w:right="42" w:rightChars="20"/>
              <w:textAlignment w:val="center"/>
              <w:rPr>
                <w:rFonts w:ascii="宋体" w:hAnsi="宋体" w:cs="宋体"/>
                <w:color w:val="000000"/>
                <w:kern w:val="0"/>
                <w:szCs w:val="21"/>
              </w:rPr>
            </w:pPr>
            <w:r>
              <w:rPr>
                <w:rFonts w:hint="eastAsia" w:ascii="宋体" w:hAnsi="宋体" w:cs="宋体"/>
                <w:color w:val="000000"/>
                <w:kern w:val="0"/>
                <w:szCs w:val="21"/>
              </w:rPr>
              <w:t>六、原料控制</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12</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未按规定查验供货者的许可证和检验合格证明，未如实记录有关信息并保存相关购物凭证。</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5</w:t>
            </w:r>
          </w:p>
        </w:tc>
      </w:tr>
      <w:tr>
        <w:tblPrEx>
          <w:tblCellMar>
            <w:top w:w="0" w:type="dxa"/>
            <w:left w:w="108" w:type="dxa"/>
            <w:bottom w:w="0" w:type="dxa"/>
            <w:right w:w="108" w:type="dxa"/>
          </w:tblCellMar>
        </w:tblPrEx>
        <w:trPr>
          <w:trHeight w:val="284" w:hRule="atLeast"/>
          <w:jc w:val="center"/>
        </w:trPr>
        <w:tc>
          <w:tcPr>
            <w:tcW w:w="1687" w:type="dxa"/>
            <w:vMerge w:val="continue"/>
            <w:tcBorders>
              <w:left w:val="single" w:color="000000" w:sz="4" w:space="0"/>
              <w:right w:val="single" w:color="000000" w:sz="4" w:space="0"/>
            </w:tcBorders>
            <w:noWrap w:val="0"/>
            <w:vAlign w:val="center"/>
          </w:tcPr>
          <w:p>
            <w:pPr>
              <w:widowControl/>
              <w:spacing w:line="250" w:lineRule="exact"/>
              <w:ind w:left="21" w:leftChars="10" w:right="21" w:rightChars="10"/>
              <w:rPr>
                <w:rFonts w:ascii="宋体" w:hAnsi="宋体" w:cs="宋体"/>
                <w:color w:val="000000"/>
                <w:kern w:val="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13</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hint="eastAsia" w:ascii="宋体" w:hAnsi="宋体" w:cs="宋体"/>
                <w:color w:val="000000"/>
                <w:kern w:val="21"/>
                <w:szCs w:val="21"/>
              </w:rPr>
            </w:pPr>
            <w:r>
              <w:rPr>
                <w:rFonts w:hint="eastAsia" w:ascii="宋体" w:hAnsi="宋体" w:cs="宋体"/>
                <w:color w:val="000000"/>
                <w:kern w:val="21"/>
                <w:szCs w:val="21"/>
              </w:rPr>
              <w:t>原料外包装标识不符合要求。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continue"/>
            <w:tcBorders>
              <w:left w:val="single" w:color="000000" w:sz="4" w:space="0"/>
              <w:right w:val="single" w:color="000000" w:sz="4" w:space="0"/>
            </w:tcBorders>
            <w:noWrap w:val="0"/>
            <w:vAlign w:val="center"/>
          </w:tcPr>
          <w:p>
            <w:pPr>
              <w:widowControl/>
              <w:spacing w:line="250" w:lineRule="exact"/>
              <w:ind w:left="21" w:leftChars="10" w:right="21" w:rightChars="10"/>
              <w:rPr>
                <w:rFonts w:ascii="宋体" w:hAnsi="宋体" w:cs="宋体"/>
                <w:color w:val="000000"/>
                <w:kern w:val="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14</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食品原料贮存不符合要求：未按照外包装标识的条件和食品安全要求贮存食品原料，未分类、离地存放食品原料，有变质或超过保质期限的食品的食品原料未及时清理，未对贮存的散装食品进行信息标明，有毒、有害物品与食品原料一同贮存、运输。</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15</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食品加工用水不符合国家规定的</w:t>
            </w:r>
            <w:r>
              <w:rPr>
                <w:rFonts w:ascii="宋体" w:hAnsi="宋体" w:cs="宋体"/>
                <w:color w:val="000000"/>
                <w:kern w:val="21"/>
                <w:szCs w:val="21"/>
              </w:rPr>
              <w:t>GB5749</w:t>
            </w:r>
            <w:r>
              <w:rPr>
                <w:rFonts w:hint="eastAsia" w:ascii="宋体" w:hAnsi="宋体" w:cs="宋体"/>
                <w:color w:val="000000"/>
                <w:kern w:val="21"/>
                <w:szCs w:val="21"/>
              </w:rPr>
              <w:t>《生活饮用水卫生标准》，自备水源未能提供有资质的检测机构出具的水质检测合格报告，接触食品成品的水未经过水净化设施处理或未使用可直接饮用水。</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kern w:val="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continue"/>
            <w:tcBorders>
              <w:left w:val="single" w:color="000000" w:sz="4" w:space="0"/>
              <w:right w:val="single" w:color="000000" w:sz="4" w:space="0"/>
            </w:tcBorders>
            <w:noWrap w:val="0"/>
            <w:vAlign w:val="center"/>
          </w:tcPr>
          <w:p>
            <w:pPr>
              <w:widowControl/>
              <w:spacing w:line="250" w:lineRule="exact"/>
              <w:ind w:left="21" w:leftChars="10" w:right="21" w:rightChars="1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szCs w:val="21"/>
              </w:rPr>
              <w:t>16</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存在国家禁止生产经营的以下较严重情形之一的：（</w:t>
            </w:r>
            <w:r>
              <w:rPr>
                <w:rFonts w:ascii="宋体" w:hAnsi="宋体" w:cs="宋体"/>
                <w:color w:val="000000"/>
                <w:kern w:val="21"/>
                <w:szCs w:val="21"/>
              </w:rPr>
              <w:t>1</w:t>
            </w:r>
            <w:r>
              <w:rPr>
                <w:rFonts w:hint="eastAsia" w:ascii="宋体" w:hAnsi="宋体" w:cs="宋体"/>
                <w:color w:val="000000"/>
                <w:kern w:val="21"/>
                <w:szCs w:val="21"/>
              </w:rPr>
              <w:t>）使用超过保质期、腐败变质、油脂酸败、霉变生虫、污秽不洁、混有异物、掺假掺杂或感官性状异常的食品、食品添加剂；（</w:t>
            </w:r>
            <w:r>
              <w:rPr>
                <w:rFonts w:ascii="宋体" w:hAnsi="宋体" w:cs="宋体"/>
                <w:color w:val="000000"/>
                <w:kern w:val="21"/>
                <w:szCs w:val="21"/>
              </w:rPr>
              <w:t>2</w:t>
            </w:r>
            <w:r>
              <w:rPr>
                <w:rFonts w:hint="eastAsia" w:ascii="宋体" w:hAnsi="宋体" w:cs="宋体"/>
                <w:color w:val="000000"/>
                <w:kern w:val="21"/>
                <w:szCs w:val="21"/>
              </w:rPr>
              <w:t>）生产经营致病性微生物，农药残留、兽药残留、生物毒素、重金属等污染物质以及其他危害人体健康的物质含量超过食品安全标准限量的食品、食品添加剂；（</w:t>
            </w:r>
            <w:r>
              <w:rPr>
                <w:rFonts w:ascii="宋体" w:hAnsi="宋体" w:cs="宋体"/>
                <w:color w:val="000000"/>
                <w:kern w:val="21"/>
                <w:szCs w:val="21"/>
              </w:rPr>
              <w:t>3</w:t>
            </w:r>
            <w:r>
              <w:rPr>
                <w:rFonts w:hint="eastAsia" w:ascii="宋体" w:hAnsi="宋体" w:cs="宋体"/>
                <w:color w:val="000000"/>
                <w:kern w:val="21"/>
                <w:szCs w:val="21"/>
              </w:rPr>
              <w:t>）中小学或幼儿园食堂制售冷荤类食品、生食类食品、裱花蛋糕，或加工制作四季豆、鲜黄花菜、野生蘑菇、发芽土豆等高风险食品；（</w:t>
            </w:r>
            <w:r>
              <w:rPr>
                <w:rFonts w:ascii="宋体" w:hAnsi="宋体" w:cs="宋体"/>
                <w:color w:val="000000"/>
                <w:kern w:val="21"/>
                <w:szCs w:val="21"/>
              </w:rPr>
              <w:t>4</w:t>
            </w:r>
            <w:r>
              <w:rPr>
                <w:rFonts w:hint="eastAsia" w:ascii="宋体" w:hAnsi="宋体" w:cs="宋体"/>
                <w:color w:val="000000"/>
                <w:kern w:val="21"/>
                <w:szCs w:val="21"/>
              </w:rPr>
              <w:t>）采购、贮存、使用亚硝酸盐（包括亚硝酸钠、亚硝酸钾）；（</w:t>
            </w:r>
            <w:r>
              <w:rPr>
                <w:rFonts w:ascii="宋体" w:hAnsi="宋体" w:cs="宋体"/>
                <w:color w:val="000000"/>
                <w:kern w:val="21"/>
                <w:szCs w:val="21"/>
              </w:rPr>
              <w:t>5</w:t>
            </w:r>
            <w:r>
              <w:rPr>
                <w:rFonts w:hint="eastAsia" w:ascii="宋体" w:hAnsi="宋体" w:cs="宋体"/>
                <w:color w:val="000000"/>
                <w:kern w:val="21"/>
                <w:szCs w:val="21"/>
              </w:rPr>
              <w:t>）利用新的食品原料生产食品未通过安全性评估。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5</w:t>
            </w:r>
          </w:p>
        </w:tc>
      </w:tr>
      <w:tr>
        <w:tblPrEx>
          <w:tblCellMar>
            <w:top w:w="0" w:type="dxa"/>
            <w:left w:w="108" w:type="dxa"/>
            <w:bottom w:w="0" w:type="dxa"/>
            <w:right w:w="108" w:type="dxa"/>
          </w:tblCellMar>
        </w:tblPrEx>
        <w:trPr>
          <w:trHeight w:val="284" w:hRule="atLeast"/>
          <w:jc w:val="center"/>
        </w:trPr>
        <w:tc>
          <w:tcPr>
            <w:tcW w:w="1687" w:type="dxa"/>
            <w:vMerge w:val="continue"/>
            <w:tcBorders>
              <w:left w:val="single" w:color="000000" w:sz="4" w:space="0"/>
              <w:bottom w:val="single" w:color="auto" w:sz="4" w:space="0"/>
              <w:right w:val="single" w:color="000000" w:sz="4" w:space="0"/>
            </w:tcBorders>
            <w:noWrap w:val="0"/>
            <w:vAlign w:val="center"/>
          </w:tcPr>
          <w:p>
            <w:pPr>
              <w:widowControl/>
              <w:spacing w:line="260" w:lineRule="exact"/>
              <w:ind w:left="21" w:leftChars="10" w:right="21" w:rightChars="1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17</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采购或使用不符合食品安全标准的食品原料（除</w:t>
            </w:r>
            <w:r>
              <w:rPr>
                <w:rFonts w:ascii="宋体" w:hAnsi="宋体" w:cs="宋体"/>
                <w:color w:val="000000"/>
                <w:kern w:val="0"/>
                <w:szCs w:val="21"/>
              </w:rPr>
              <w:t>16</w:t>
            </w:r>
            <w:r>
              <w:rPr>
                <w:rFonts w:hint="eastAsia" w:ascii="宋体" w:hAnsi="宋体" w:cs="宋体"/>
                <w:color w:val="000000"/>
                <w:kern w:val="0"/>
                <w:szCs w:val="21"/>
              </w:rPr>
              <w:t>项检测不合</w:t>
            </w:r>
            <w:r>
              <w:rPr>
                <w:rFonts w:hint="eastAsia" w:ascii="宋体" w:hAnsi="宋体" w:cs="宋体"/>
                <w:color w:val="000000"/>
                <w:kern w:val="21"/>
                <w:szCs w:val="21"/>
              </w:rPr>
              <w:t>格以外的情形）。</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kern w:val="0"/>
                <w:szCs w:val="21"/>
              </w:rPr>
            </w:pPr>
            <w:r>
              <w:rPr>
                <w:rFonts w:ascii="宋体" w:hAnsi="宋体" w:cs="宋体"/>
                <w:bCs/>
                <w:color w:val="000000"/>
                <w:kern w:val="0"/>
                <w:szCs w:val="21"/>
              </w:rPr>
              <w:t>1</w:t>
            </w:r>
          </w:p>
        </w:tc>
      </w:tr>
    </w:tbl>
    <w:p>
      <w:pPr>
        <w:spacing w:line="240" w:lineRule="exact"/>
        <w:rPr>
          <w:rFonts w:hint="eastAsia"/>
        </w:rPr>
      </w:pPr>
    </w:p>
    <w:tbl>
      <w:tblPr>
        <w:tblStyle w:val="4"/>
        <w:tblW w:w="5039" w:type="pct"/>
        <w:jc w:val="center"/>
        <w:tblLayout w:type="fixed"/>
        <w:tblCellMar>
          <w:top w:w="0" w:type="dxa"/>
          <w:left w:w="108" w:type="dxa"/>
          <w:bottom w:w="0" w:type="dxa"/>
          <w:right w:w="108" w:type="dxa"/>
        </w:tblCellMar>
      </w:tblPr>
      <w:tblGrid>
        <w:gridCol w:w="1790"/>
        <w:gridCol w:w="573"/>
        <w:gridCol w:w="10920"/>
        <w:gridCol w:w="814"/>
      </w:tblGrid>
      <w:tr>
        <w:tblPrEx>
          <w:tblCellMar>
            <w:top w:w="0" w:type="dxa"/>
            <w:left w:w="108" w:type="dxa"/>
            <w:bottom w:w="0" w:type="dxa"/>
            <w:right w:w="108" w:type="dxa"/>
          </w:tblCellMar>
        </w:tblPrEx>
        <w:trPr>
          <w:trHeight w:val="284" w:hRule="atLeast"/>
          <w:jc w:val="center"/>
        </w:trPr>
        <w:tc>
          <w:tcPr>
            <w:tcW w:w="168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检查类别</w:t>
            </w:r>
          </w:p>
        </w:tc>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029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违法违规行为</w:t>
            </w:r>
          </w:p>
        </w:tc>
        <w:tc>
          <w:tcPr>
            <w:tcW w:w="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记分值</w:t>
            </w:r>
          </w:p>
        </w:tc>
      </w:tr>
      <w:tr>
        <w:tblPrEx>
          <w:tblCellMar>
            <w:top w:w="0" w:type="dxa"/>
            <w:left w:w="108" w:type="dxa"/>
            <w:bottom w:w="0" w:type="dxa"/>
            <w:right w:w="108" w:type="dxa"/>
          </w:tblCellMar>
        </w:tblPrEx>
        <w:trPr>
          <w:trHeight w:val="284" w:hRule="atLeast"/>
          <w:jc w:val="center"/>
        </w:trPr>
        <w:tc>
          <w:tcPr>
            <w:tcW w:w="1687"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6" w:lineRule="exact"/>
              <w:ind w:left="42" w:leftChars="20" w:right="42" w:rightChars="20"/>
              <w:rPr>
                <w:rFonts w:ascii="宋体" w:hAnsi="宋体" w:cs="宋体"/>
                <w:color w:val="000000"/>
                <w:szCs w:val="21"/>
              </w:rPr>
            </w:pPr>
            <w:r>
              <w:rPr>
                <w:rFonts w:hint="eastAsia" w:ascii="宋体" w:hAnsi="宋体" w:cs="宋体"/>
                <w:color w:val="000000"/>
                <w:kern w:val="0"/>
                <w:szCs w:val="21"/>
              </w:rPr>
              <w:t>七、加工过程</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18</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未采取有效防护措施避免食品受到污染：（</w:t>
            </w:r>
            <w:r>
              <w:rPr>
                <w:rFonts w:ascii="宋体" w:hAnsi="宋体" w:cs="宋体"/>
                <w:color w:val="000000"/>
                <w:kern w:val="21"/>
                <w:szCs w:val="21"/>
              </w:rPr>
              <w:t>1</w:t>
            </w:r>
            <w:r>
              <w:rPr>
                <w:rFonts w:hint="eastAsia" w:ascii="宋体" w:hAnsi="宋体" w:cs="宋体"/>
                <w:color w:val="000000"/>
                <w:kern w:val="21"/>
                <w:szCs w:val="21"/>
              </w:rPr>
              <w:t>）食品原料、半成品与成品在盛放、贮存时未相互分开；（</w:t>
            </w:r>
            <w:r>
              <w:rPr>
                <w:rFonts w:ascii="宋体" w:hAnsi="宋体" w:cs="宋体"/>
                <w:color w:val="000000"/>
                <w:kern w:val="21"/>
                <w:szCs w:val="21"/>
              </w:rPr>
              <w:t>2</w:t>
            </w:r>
            <w:r>
              <w:rPr>
                <w:rFonts w:hint="eastAsia" w:ascii="宋体" w:hAnsi="宋体" w:cs="宋体"/>
                <w:color w:val="000000"/>
                <w:kern w:val="21"/>
                <w:szCs w:val="21"/>
              </w:rPr>
              <w:t>）用于盛装成品的餐饮容器直接放置地上；（</w:t>
            </w:r>
            <w:r>
              <w:rPr>
                <w:rFonts w:ascii="宋体" w:hAnsi="宋体" w:cs="宋体"/>
                <w:color w:val="000000"/>
                <w:kern w:val="21"/>
                <w:szCs w:val="21"/>
              </w:rPr>
              <w:t>3</w:t>
            </w:r>
            <w:r>
              <w:rPr>
                <w:rFonts w:hint="eastAsia" w:ascii="宋体" w:hAnsi="宋体" w:cs="宋体"/>
                <w:color w:val="000000"/>
                <w:kern w:val="21"/>
                <w:szCs w:val="21"/>
              </w:rPr>
              <w:t>）食品原料清洗、餐用具清洗消毒以及清洁工用具清洗水池</w:t>
            </w:r>
            <w:r>
              <w:rPr>
                <w:rFonts w:ascii="宋体" w:hAnsi="宋体" w:cs="宋体"/>
                <w:color w:val="000000"/>
                <w:kern w:val="21"/>
                <w:szCs w:val="21"/>
              </w:rPr>
              <w:t>（</w:t>
            </w:r>
            <w:r>
              <w:rPr>
                <w:rFonts w:hint="eastAsia" w:ascii="宋体" w:hAnsi="宋体" w:cs="宋体"/>
                <w:color w:val="000000"/>
                <w:kern w:val="21"/>
                <w:szCs w:val="21"/>
              </w:rPr>
              <w:t>容器</w:t>
            </w:r>
            <w:r>
              <w:rPr>
                <w:rFonts w:ascii="宋体" w:hAnsi="宋体" w:cs="宋体"/>
                <w:color w:val="000000"/>
                <w:kern w:val="21"/>
                <w:szCs w:val="21"/>
              </w:rPr>
              <w:t>）</w:t>
            </w:r>
            <w:r>
              <w:rPr>
                <w:rFonts w:hint="eastAsia" w:ascii="宋体" w:hAnsi="宋体" w:cs="宋体"/>
                <w:color w:val="000000"/>
                <w:kern w:val="21"/>
                <w:szCs w:val="21"/>
              </w:rPr>
              <w:t>未分开专用；（</w:t>
            </w:r>
            <w:r>
              <w:rPr>
                <w:rFonts w:ascii="宋体" w:hAnsi="宋体" w:cs="宋体"/>
                <w:color w:val="000000"/>
                <w:kern w:val="21"/>
                <w:szCs w:val="21"/>
              </w:rPr>
              <w:t>4</w:t>
            </w:r>
            <w:r>
              <w:rPr>
                <w:rFonts w:hint="eastAsia" w:ascii="宋体" w:hAnsi="宋体" w:cs="宋体"/>
                <w:color w:val="000000"/>
                <w:kern w:val="21"/>
                <w:szCs w:val="21"/>
              </w:rPr>
              <w:t>）存在污染食品及其加工制作过程的其他情形。</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6"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19</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食品成品存放的温度和时间不符合规范的要求。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kern w:val="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6"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20</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超范围、超限量使用食品添加剂，食品添加剂未做到专柜保存，对有使用限量要求的食品添加剂未能进行称量和记录。</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kern w:val="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6"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21</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食品留样不符合规范要求。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6"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22</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专间或专用操作场所存在以下问题：（</w:t>
            </w:r>
            <w:r>
              <w:rPr>
                <w:rFonts w:ascii="宋体" w:hAnsi="宋体" w:cs="宋体"/>
                <w:color w:val="000000"/>
                <w:kern w:val="21"/>
                <w:szCs w:val="21"/>
              </w:rPr>
              <w:t>1</w:t>
            </w:r>
            <w:r>
              <w:rPr>
                <w:rFonts w:hint="eastAsia" w:ascii="宋体" w:hAnsi="宋体" w:cs="宋体"/>
                <w:color w:val="000000"/>
                <w:kern w:val="21"/>
                <w:szCs w:val="21"/>
              </w:rPr>
              <w:t>）未配备符合许可标准要求的专间或专用操作场所与专用设施；（</w:t>
            </w:r>
            <w:r>
              <w:rPr>
                <w:rFonts w:ascii="宋体" w:hAnsi="宋体" w:cs="宋体"/>
                <w:color w:val="000000"/>
                <w:kern w:val="21"/>
                <w:szCs w:val="21"/>
              </w:rPr>
              <w:t>2</w:t>
            </w:r>
            <w:r>
              <w:rPr>
                <w:rFonts w:hint="eastAsia" w:ascii="宋体" w:hAnsi="宋体" w:cs="宋体"/>
                <w:color w:val="000000"/>
                <w:kern w:val="21"/>
                <w:szCs w:val="21"/>
              </w:rPr>
              <w:t>）加工制作过程不符合规范要求，存在污染成品的食品安全的情形；（</w:t>
            </w:r>
            <w:r>
              <w:rPr>
                <w:rFonts w:ascii="宋体" w:hAnsi="宋体" w:cs="宋体"/>
                <w:color w:val="000000"/>
                <w:kern w:val="21"/>
                <w:szCs w:val="21"/>
              </w:rPr>
              <w:t>3</w:t>
            </w:r>
            <w:r>
              <w:rPr>
                <w:rFonts w:hint="eastAsia" w:ascii="宋体" w:hAnsi="宋体" w:cs="宋体"/>
                <w:color w:val="000000"/>
                <w:kern w:val="21"/>
                <w:szCs w:val="21"/>
              </w:rPr>
              <w:t>）在显著位置未公示备餐人员操作规范。</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6"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23</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配餐送到教室等就餐场所的配送过程中的食品存放、运输、分餐操作不符合要求。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6"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八、场所及设施</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24</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未能按照许可要求设置相应加工经营场所，食品处理区未能按照原料进入、原料处理、加工制作、成品供应的顺序合理布局，未能有效避免食品接触有毒物、不洁物</w:t>
            </w:r>
            <w:r>
              <w:rPr>
                <w:rFonts w:ascii="宋体" w:hAnsi="宋体" w:cs="宋体"/>
                <w:color w:val="000000"/>
                <w:kern w:val="21"/>
                <w:szCs w:val="21"/>
              </w:rPr>
              <w:t>（</w:t>
            </w:r>
            <w:r>
              <w:rPr>
                <w:rFonts w:hint="eastAsia" w:ascii="宋体" w:hAnsi="宋体" w:cs="宋体"/>
                <w:color w:val="000000"/>
                <w:kern w:val="21"/>
                <w:szCs w:val="21"/>
              </w:rPr>
              <w:t>实在无法分设时，未能在不同时段分别运送原料、成品、使用后的餐饮具，且未使用无污染的方式覆盖运送成品）。</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kern w:val="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6"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25</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用于清洗、加工、贮存、陈列、防尘、防蝇、防鼠和防虫、通风、排烟、照明等设施设置不符合实际需要或不能正常使用；冷藏、热保存设施数量或大小不能满足生熟分开存放，有蟑螂、老鼠等有害生物。</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6"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26</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用于加工动物性食品原料、植物性食品原料、水产品原料、半成品或成品等容器、工具，未从形状、材质、颜色或标识上明显区分、未做到分开使用。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kern w:val="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6"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27</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食品处理区未设置能正常运转、足够数量的洗手设施（含洗手、干手设施）；专间和专用操作区入口处未设置能正常使用的洗手消毒设施。</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6"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28</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0"/>
                <w:szCs w:val="21"/>
              </w:rPr>
            </w:pPr>
            <w:r>
              <w:rPr>
                <w:rFonts w:hint="eastAsia" w:ascii="宋体" w:hAnsi="宋体" w:cs="宋体"/>
                <w:color w:val="000000"/>
                <w:szCs w:val="21"/>
              </w:rPr>
              <w:t>直接接触食品的容器、工具和包装材料不符合食品安全标准或要求，未保持清洁。</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kern w:val="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6"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九、餐饮具清消</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29</w:t>
            </w:r>
          </w:p>
        </w:tc>
        <w:tc>
          <w:tcPr>
            <w:tcW w:w="1029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餐具、饮具和盛放直接入口食品的容器使用前未按要求洗净消毒和保洁的；购置、使用集中消毒企业供应的餐具、饮具，未查验其经营资质、索取消毒合格凭证的。</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6"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十、采购集中用餐饮配送或承包食堂</w:t>
            </w:r>
          </w:p>
        </w:tc>
        <w:tc>
          <w:tcPr>
            <w:tcW w:w="54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30</w:t>
            </w:r>
          </w:p>
        </w:tc>
        <w:tc>
          <w:tcPr>
            <w:tcW w:w="1029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Verdana"/>
                <w:color w:val="000000"/>
                <w:kern w:val="21"/>
                <w:szCs w:val="21"/>
                <w:u w:val="single"/>
                <w:shd w:val="clear" w:color="auto" w:fill="FFFFFF"/>
              </w:rPr>
            </w:pPr>
            <w:r>
              <w:rPr>
                <w:rFonts w:hint="eastAsia" w:ascii="宋体" w:hAnsi="宋体" w:cs="宋体"/>
                <w:color w:val="000000"/>
                <w:kern w:val="21"/>
                <w:szCs w:val="21"/>
              </w:rPr>
              <w:t>校外集体配餐存在以下情形之一的：（</w:t>
            </w:r>
            <w:r>
              <w:rPr>
                <w:rFonts w:ascii="宋体" w:hAnsi="宋体" w:cs="宋体"/>
                <w:color w:val="000000"/>
                <w:kern w:val="21"/>
                <w:szCs w:val="21"/>
              </w:rPr>
              <w:t>1</w:t>
            </w:r>
            <w:r>
              <w:rPr>
                <w:rFonts w:hint="eastAsia" w:ascii="宋体" w:hAnsi="宋体" w:cs="宋体"/>
                <w:color w:val="000000"/>
                <w:kern w:val="21"/>
                <w:szCs w:val="21"/>
              </w:rPr>
              <w:t>）未建立健全校外供餐管理制度；</w:t>
            </w:r>
            <w:r>
              <w:rPr>
                <w:rFonts w:ascii="宋体" w:hAnsi="宋体" w:cs="宋体"/>
                <w:color w:val="000000"/>
                <w:kern w:val="21"/>
                <w:szCs w:val="21"/>
              </w:rPr>
              <w:t>（2）</w:t>
            </w:r>
            <w:r>
              <w:rPr>
                <w:rFonts w:hint="eastAsia" w:ascii="宋体" w:hAnsi="宋体" w:cs="宋体"/>
                <w:color w:val="000000"/>
                <w:kern w:val="21"/>
                <w:szCs w:val="21"/>
              </w:rPr>
              <w:t>供餐单位无食品经营许可，未与供餐单位签订供餐合同（或协议）；（</w:t>
            </w:r>
            <w:r>
              <w:rPr>
                <w:rFonts w:ascii="宋体" w:hAnsi="宋体" w:cs="宋体"/>
                <w:color w:val="000000"/>
                <w:kern w:val="21"/>
                <w:szCs w:val="21"/>
              </w:rPr>
              <w:t>3</w:t>
            </w:r>
            <w:r>
              <w:rPr>
                <w:rFonts w:hint="eastAsia" w:ascii="宋体" w:hAnsi="宋体" w:cs="宋体"/>
                <w:color w:val="000000"/>
                <w:kern w:val="21"/>
                <w:szCs w:val="21"/>
              </w:rPr>
              <w:t>）未公示供餐单位信息；（</w:t>
            </w:r>
            <w:r>
              <w:rPr>
                <w:rFonts w:ascii="宋体" w:hAnsi="宋体" w:cs="宋体"/>
                <w:color w:val="000000"/>
                <w:kern w:val="21"/>
                <w:szCs w:val="21"/>
              </w:rPr>
              <w:t>4</w:t>
            </w:r>
            <w:r>
              <w:rPr>
                <w:rFonts w:hint="eastAsia" w:ascii="宋体" w:hAnsi="宋体" w:cs="宋体"/>
                <w:color w:val="000000"/>
                <w:kern w:val="21"/>
                <w:szCs w:val="21"/>
              </w:rPr>
              <w:t>）学校未对供餐单位提供的食品随机进行外</w:t>
            </w:r>
            <w:r>
              <w:rPr>
                <w:rFonts w:hint="eastAsia" w:ascii="宋体" w:hAnsi="宋体" w:cs="宋体"/>
                <w:color w:val="000000"/>
                <w:spacing w:val="-4"/>
                <w:kern w:val="21"/>
                <w:szCs w:val="21"/>
              </w:rPr>
              <w:t>观查验和必要检验；（</w:t>
            </w:r>
            <w:r>
              <w:rPr>
                <w:rFonts w:ascii="宋体" w:hAnsi="宋体" w:cs="宋体"/>
                <w:color w:val="000000"/>
                <w:spacing w:val="-4"/>
                <w:kern w:val="21"/>
                <w:szCs w:val="21"/>
              </w:rPr>
              <w:t>5</w:t>
            </w:r>
            <w:r>
              <w:rPr>
                <w:rFonts w:hint="eastAsia" w:ascii="宋体" w:hAnsi="宋体" w:cs="宋体"/>
                <w:color w:val="000000"/>
                <w:spacing w:val="-4"/>
                <w:kern w:val="21"/>
                <w:szCs w:val="21"/>
              </w:rPr>
              <w:t>）食品运输车辆、贮存、包装或容器、标识、温度、时间、禁止配送品种不符合规范要求。</w:t>
            </w:r>
          </w:p>
        </w:tc>
        <w:tc>
          <w:tcPr>
            <w:tcW w:w="767" w:type="dxa"/>
            <w:tcBorders>
              <w:top w:val="single" w:color="000000" w:sz="4" w:space="0"/>
              <w:left w:val="single" w:color="auto" w:sz="4" w:space="0"/>
              <w:bottom w:val="nil"/>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6"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szCs w:val="21"/>
              </w:rPr>
              <w:t>31</w:t>
            </w:r>
          </w:p>
        </w:tc>
        <w:tc>
          <w:tcPr>
            <w:tcW w:w="10291"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spacing w:val="-3"/>
                <w:kern w:val="21"/>
                <w:szCs w:val="21"/>
              </w:rPr>
            </w:pPr>
            <w:r>
              <w:rPr>
                <w:rFonts w:hint="eastAsia" w:ascii="宋体" w:hAnsi="宋体" w:cs="宋体"/>
                <w:color w:val="000000"/>
                <w:spacing w:val="-3"/>
                <w:kern w:val="21"/>
                <w:szCs w:val="21"/>
              </w:rPr>
              <w:t>承包或委托经营学校食堂的，未选取有食品经营许可条件的餐饮管理单位，未依法签订合同并落实双方管理责任。</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kern w:val="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6"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szCs w:val="21"/>
              </w:rPr>
              <w:t>32</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未按有关规定处理餐厨垃圾。</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1</w:t>
            </w:r>
          </w:p>
        </w:tc>
      </w:tr>
      <w:tr>
        <w:tblPrEx>
          <w:tblCellMar>
            <w:top w:w="0" w:type="dxa"/>
            <w:left w:w="108" w:type="dxa"/>
            <w:bottom w:w="0" w:type="dxa"/>
            <w:right w:w="108" w:type="dxa"/>
          </w:tblCellMar>
        </w:tblPrEx>
        <w:trPr>
          <w:trHeight w:val="284" w:hRule="atLeast"/>
          <w:jc w:val="center"/>
        </w:trPr>
        <w:tc>
          <w:tcPr>
            <w:tcW w:w="1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6" w:lineRule="exact"/>
              <w:ind w:left="-42" w:leftChars="-20" w:right="42" w:rightChars="20"/>
              <w:rPr>
                <w:rFonts w:hint="eastAsia" w:ascii="宋体" w:hAnsi="宋体" w:cs="宋体"/>
                <w:color w:val="000000"/>
                <w:szCs w:val="21"/>
              </w:rPr>
            </w:pPr>
            <w:r>
              <w:rPr>
                <w:rFonts w:hint="eastAsia" w:ascii="宋体" w:hAnsi="宋体" w:cs="宋体"/>
                <w:color w:val="000000"/>
                <w:szCs w:val="21"/>
              </w:rPr>
              <w:t>十一、其他</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33</w:t>
            </w:r>
          </w:p>
        </w:tc>
        <w:tc>
          <w:tcPr>
            <w:tcW w:w="102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5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未遵守控烟要求：</w:t>
            </w:r>
            <w:r>
              <w:rPr>
                <w:rFonts w:ascii="宋体" w:hAnsi="宋体" w:cs="宋体"/>
                <w:color w:val="000000"/>
                <w:kern w:val="21"/>
                <w:szCs w:val="21"/>
              </w:rPr>
              <w:t>（1）</w:t>
            </w:r>
            <w:r>
              <w:rPr>
                <w:rFonts w:hint="eastAsia" w:ascii="宋体" w:hAnsi="宋体" w:cs="宋体"/>
                <w:color w:val="000000"/>
                <w:kern w:val="21"/>
                <w:szCs w:val="21"/>
              </w:rPr>
              <w:t>警示标识未张贴；（</w:t>
            </w:r>
            <w:r>
              <w:rPr>
                <w:rFonts w:ascii="宋体" w:hAnsi="宋体" w:cs="宋体"/>
                <w:color w:val="000000"/>
                <w:kern w:val="21"/>
                <w:szCs w:val="21"/>
              </w:rPr>
              <w:t>2</w:t>
            </w:r>
            <w:r>
              <w:rPr>
                <w:rFonts w:hint="eastAsia" w:ascii="宋体" w:hAnsi="宋体" w:cs="宋体"/>
                <w:color w:val="000000"/>
                <w:kern w:val="21"/>
                <w:szCs w:val="21"/>
              </w:rPr>
              <w:t>）未能及时制止在非吸烟区吸烟者；（</w:t>
            </w:r>
            <w:r>
              <w:rPr>
                <w:rFonts w:ascii="宋体" w:hAnsi="宋体" w:cs="宋体"/>
                <w:color w:val="000000"/>
                <w:kern w:val="21"/>
                <w:szCs w:val="21"/>
              </w:rPr>
              <w:t>3</w:t>
            </w:r>
            <w:r>
              <w:rPr>
                <w:rFonts w:hint="eastAsia" w:ascii="宋体" w:hAnsi="宋体" w:cs="宋体"/>
                <w:color w:val="000000"/>
                <w:kern w:val="21"/>
                <w:szCs w:val="21"/>
              </w:rPr>
              <w:t>）未制止食堂从业人员等人员在在食堂及有关禁止吸烟场所有吸烟行为。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kern w:val="0"/>
                <w:szCs w:val="21"/>
              </w:rPr>
            </w:pPr>
            <w:r>
              <w:rPr>
                <w:rFonts w:ascii="宋体" w:hAnsi="宋体" w:cs="宋体"/>
                <w:bCs/>
                <w:color w:val="000000"/>
                <w:kern w:val="0"/>
                <w:szCs w:val="21"/>
              </w:rPr>
              <w:t>1</w:t>
            </w:r>
          </w:p>
        </w:tc>
      </w:tr>
    </w:tbl>
    <w:p>
      <w:pPr>
        <w:spacing w:line="20" w:lineRule="exact"/>
        <w:ind w:firstLine="420" w:firstLineChars="200"/>
        <w:rPr>
          <w:rFonts w:hint="eastAsia" w:ascii="楷体_GB2312" w:hAnsi="宋体" w:eastAsia="楷体_GB2312" w:cs="宋体"/>
          <w:color w:val="000000"/>
          <w:szCs w:val="21"/>
        </w:rPr>
      </w:pPr>
    </w:p>
    <w:p>
      <w:pPr>
        <w:spacing w:line="120" w:lineRule="exact"/>
        <w:ind w:firstLine="420" w:firstLineChars="200"/>
        <w:rPr>
          <w:rFonts w:hint="eastAsia" w:ascii="楷体_GB2312" w:hAnsi="宋体" w:eastAsia="楷体_GB2312" w:cs="宋体"/>
          <w:color w:val="000000"/>
          <w:szCs w:val="21"/>
        </w:rPr>
      </w:pPr>
    </w:p>
    <w:p>
      <w:pPr>
        <w:spacing w:line="120" w:lineRule="exact"/>
        <w:ind w:firstLine="420" w:firstLineChars="200"/>
        <w:rPr>
          <w:rFonts w:hint="eastAsia" w:ascii="楷体_GB2312" w:hAnsi="宋体" w:eastAsia="楷体_GB2312" w:cs="宋体"/>
          <w:color w:val="000000"/>
          <w:szCs w:val="21"/>
        </w:rPr>
      </w:pPr>
    </w:p>
    <w:p>
      <w:pPr>
        <w:spacing w:line="300" w:lineRule="exact"/>
        <w:ind w:firstLine="420" w:firstLineChars="200"/>
        <w:rPr>
          <w:rFonts w:hint="eastAsia" w:ascii="楷体_GB2312" w:hAnsi="宋体" w:eastAsia="楷体_GB2312" w:cs="宋体"/>
          <w:color w:val="000000"/>
          <w:szCs w:val="21"/>
        </w:rPr>
      </w:pPr>
      <w:r>
        <w:rPr>
          <w:rFonts w:hint="eastAsia" w:ascii="楷体_GB2312" w:hAnsi="宋体" w:eastAsia="楷体_GB2312" w:cs="宋体"/>
          <w:color w:val="000000"/>
          <w:szCs w:val="21"/>
        </w:rPr>
        <w:t>注：★以下情形需要当场实施行政强制措施的，由监管部门另依据《食品安全法》《行政强制法》等有关规定执行。</w:t>
      </w:r>
    </w:p>
    <w:p>
      <w:pPr>
        <w:spacing w:line="300" w:lineRule="exact"/>
        <w:ind w:firstLine="420" w:firstLineChars="200"/>
        <w:rPr>
          <w:rFonts w:hint="eastAsia" w:ascii="楷体_GB2312" w:hAnsi="宋体" w:eastAsia="楷体_GB2312" w:cs="宋体"/>
          <w:color w:val="000000"/>
          <w:szCs w:val="21"/>
        </w:rPr>
      </w:pPr>
      <w:r>
        <w:rPr>
          <w:rFonts w:ascii="楷体_GB2312" w:hAnsi="宋体" w:eastAsia="楷体_GB2312" w:cs="宋体"/>
          <w:color w:val="000000"/>
          <w:szCs w:val="21"/>
        </w:rPr>
        <w:t>1．</w:t>
      </w:r>
      <w:r>
        <w:rPr>
          <w:rFonts w:hint="eastAsia" w:ascii="楷体_GB2312" w:hAnsi="宋体" w:eastAsia="楷体_GB2312" w:cs="宋体"/>
          <w:color w:val="000000"/>
          <w:szCs w:val="21"/>
        </w:rPr>
        <w:t>造成食品安全事故、对人体健康造成严重危害的、影响较大的食品安全不良社会影响。</w:t>
      </w:r>
    </w:p>
    <w:p>
      <w:pPr>
        <w:spacing w:line="300" w:lineRule="exact"/>
        <w:ind w:firstLine="420" w:firstLineChars="200"/>
        <w:rPr>
          <w:rFonts w:hint="eastAsia" w:ascii="楷体_GB2312" w:hAnsi="宋体" w:eastAsia="楷体_GB2312" w:cs="宋体"/>
          <w:color w:val="000000"/>
          <w:szCs w:val="21"/>
        </w:rPr>
      </w:pPr>
      <w:r>
        <w:rPr>
          <w:rFonts w:ascii="楷体_GB2312" w:hAnsi="宋体" w:eastAsia="楷体_GB2312" w:cs="宋体"/>
          <w:color w:val="000000"/>
          <w:szCs w:val="21"/>
        </w:rPr>
        <w:t>2．</w:t>
      </w:r>
      <w:r>
        <w:rPr>
          <w:rFonts w:hint="eastAsia" w:ascii="楷体_GB2312" w:hAnsi="宋体" w:eastAsia="楷体_GB2312" w:cs="宋体"/>
          <w:color w:val="000000"/>
          <w:szCs w:val="21"/>
        </w:rPr>
        <w:t>存在国家禁止生产经营的以下严重情形之一的：</w:t>
      </w:r>
    </w:p>
    <w:p>
      <w:pPr>
        <w:spacing w:line="300" w:lineRule="exact"/>
        <w:ind w:firstLine="420" w:firstLineChars="200"/>
        <w:rPr>
          <w:rFonts w:hint="eastAsia" w:ascii="楷体_GB2312" w:hAnsi="宋体" w:eastAsia="楷体_GB2312" w:cs="宋体"/>
          <w:color w:val="000000"/>
          <w:szCs w:val="21"/>
        </w:rPr>
      </w:pPr>
      <w:r>
        <w:rPr>
          <w:rFonts w:hint="eastAsia" w:ascii="楷体_GB2312" w:hAnsi="宋体" w:eastAsia="楷体_GB2312" w:cs="宋体"/>
          <w:color w:val="000000"/>
          <w:szCs w:val="21"/>
        </w:rPr>
        <w:t>（</w:t>
      </w:r>
      <w:r>
        <w:rPr>
          <w:rFonts w:ascii="楷体_GB2312" w:hAnsi="宋体" w:eastAsia="楷体_GB2312" w:cs="宋体"/>
          <w:color w:val="000000"/>
          <w:szCs w:val="21"/>
        </w:rPr>
        <w:t>1</w:t>
      </w:r>
      <w:r>
        <w:rPr>
          <w:rFonts w:hint="eastAsia" w:ascii="楷体_GB2312" w:hAnsi="宋体" w:eastAsia="楷体_GB2312" w:cs="宋体"/>
          <w:color w:val="000000"/>
          <w:szCs w:val="21"/>
        </w:rPr>
        <w:t>）用非食品原料或添加食品添加剂以外的化学物质和其他可能危害人体健康物质加工食品，或用回收食品作为原料生产的食品；</w:t>
      </w:r>
    </w:p>
    <w:p>
      <w:pPr>
        <w:spacing w:line="300" w:lineRule="exact"/>
        <w:ind w:firstLine="420" w:firstLineChars="200"/>
        <w:rPr>
          <w:rFonts w:hint="eastAsia" w:ascii="楷体_GB2312" w:hAnsi="宋体" w:eastAsia="楷体_GB2312" w:cs="宋体"/>
          <w:color w:val="000000"/>
          <w:szCs w:val="21"/>
        </w:rPr>
      </w:pPr>
      <w:r>
        <w:rPr>
          <w:rFonts w:hint="eastAsia" w:ascii="楷体_GB2312" w:hAnsi="宋体" w:eastAsia="楷体_GB2312" w:cs="宋体"/>
          <w:color w:val="000000"/>
          <w:szCs w:val="21"/>
        </w:rPr>
        <w:t>（</w:t>
      </w:r>
      <w:r>
        <w:rPr>
          <w:rFonts w:ascii="楷体_GB2312" w:hAnsi="宋体" w:eastAsia="楷体_GB2312" w:cs="宋体"/>
          <w:color w:val="000000"/>
          <w:szCs w:val="21"/>
        </w:rPr>
        <w:t>2</w:t>
      </w:r>
      <w:r>
        <w:rPr>
          <w:rFonts w:hint="eastAsia" w:ascii="楷体_GB2312" w:hAnsi="宋体" w:eastAsia="楷体_GB2312" w:cs="宋体"/>
          <w:color w:val="000000"/>
          <w:szCs w:val="21"/>
        </w:rPr>
        <w:t>）食品用病死、毒死或死因不明的禽、畜、兽、水产动物肉类及其制品；</w:t>
      </w:r>
    </w:p>
    <w:p>
      <w:r>
        <w:rPr>
          <w:rFonts w:hint="eastAsia" w:ascii="楷体_GB2312" w:hAnsi="宋体" w:eastAsia="楷体_GB2312" w:cs="宋体"/>
          <w:color w:val="000000"/>
          <w:szCs w:val="21"/>
        </w:rPr>
        <w:t>（</w:t>
      </w:r>
      <w:r>
        <w:rPr>
          <w:rFonts w:ascii="楷体_GB2312" w:hAnsi="宋体" w:eastAsia="楷体_GB2312" w:cs="宋体"/>
          <w:color w:val="000000"/>
          <w:szCs w:val="21"/>
        </w:rPr>
        <w:t>3</w:t>
      </w:r>
      <w:r>
        <w:rPr>
          <w:rFonts w:hint="eastAsia" w:ascii="楷体_GB2312" w:hAnsi="宋体" w:eastAsia="楷体_GB2312" w:cs="宋体"/>
          <w:color w:val="000000"/>
          <w:szCs w:val="21"/>
        </w:rPr>
        <w:t>）未按规定进行检疫或经检疫不合格的肉类或肉类制品及其他国家明令禁止生产经营的食品及原料（药品、非允许的河豚鱼品种等）。</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207AA"/>
    <w:rsid w:val="06C207AA"/>
    <w:rsid w:val="134A3B67"/>
    <w:rsid w:val="2230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name="header"/>
    <w:lsdException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2019-12-23T02:49:00Z</dcterms:created>
  <dc:creator>Jus</dc:creator>
  <cp:lastModifiedBy>Jus</cp:lastModifiedBy>
  <dcterms:modified xsi:type="dcterms:W3CDTF">2019-12-23T02:51:23Z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