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textAlignment w:val="center"/>
        <w:rPr>
          <w:rFonts w:hint="eastAsia" w:ascii="宋体" w:hAnsi="宋体"/>
          <w:color w:val="000000"/>
          <w:sz w:val="24"/>
          <w:szCs w:val="24"/>
        </w:rPr>
      </w:pPr>
      <w:r>
        <w:rPr>
          <w:rFonts w:hint="eastAsia" w:ascii="宋体" w:hAnsi="宋体" w:cs="黑体"/>
          <w:bCs/>
          <w:color w:val="000000"/>
          <w:sz w:val="24"/>
          <w:szCs w:val="24"/>
        </w:rPr>
        <w:t>附件</w:t>
      </w:r>
      <w:r>
        <w:rPr>
          <w:rFonts w:ascii="宋体" w:hAnsi="宋体" w:cs="黑体"/>
          <w:bCs/>
          <w:color w:val="000000"/>
          <w:sz w:val="24"/>
          <w:szCs w:val="24"/>
        </w:rPr>
        <w:t>1-2</w:t>
      </w:r>
    </w:p>
    <w:p>
      <w:pPr>
        <w:widowControl/>
        <w:spacing w:line="0" w:lineRule="atLeast"/>
        <w:jc w:val="center"/>
        <w:textAlignment w:val="center"/>
        <w:rPr>
          <w:rFonts w:ascii="宋体" w:hAnsi="宋体" w:cs="华文中宋"/>
          <w:color w:val="000000"/>
          <w:kern w:val="0"/>
          <w:sz w:val="36"/>
          <w:szCs w:val="36"/>
        </w:rPr>
      </w:pPr>
      <w:r>
        <w:rPr>
          <w:rFonts w:hint="eastAsia" w:ascii="宋体" w:hAnsi="宋体" w:cs="华文中宋"/>
          <w:color w:val="000000"/>
          <w:kern w:val="0"/>
          <w:sz w:val="36"/>
          <w:szCs w:val="36"/>
        </w:rPr>
        <w:t>深圳市食品安全违法行为记分检查表</w:t>
      </w:r>
    </w:p>
    <w:p>
      <w:pPr>
        <w:spacing w:before="48" w:beforeLines="20" w:after="72" w:afterLines="30" w:line="0" w:lineRule="atLeast"/>
        <w:jc w:val="center"/>
        <w:rPr>
          <w:rFonts w:hint="eastAsia" w:ascii="仿宋_GB2312" w:hAnsi="宋体" w:eastAsia="仿宋_GB2312"/>
          <w:sz w:val="30"/>
          <w:szCs w:val="30"/>
        </w:rPr>
      </w:pPr>
      <w:r>
        <w:rPr>
          <w:rFonts w:hint="eastAsia" w:ascii="仿宋_GB2312" w:hAnsi="宋体" w:eastAsia="仿宋_GB2312" w:cs="华文中宋"/>
          <w:bCs/>
          <w:color w:val="000000"/>
          <w:kern w:val="0"/>
          <w:sz w:val="30"/>
          <w:szCs w:val="30"/>
        </w:rPr>
        <w:t>（微小餐饮）</w:t>
      </w:r>
    </w:p>
    <w:tbl>
      <w:tblPr>
        <w:tblStyle w:val="4"/>
        <w:tblW w:w="4950" w:type="pct"/>
        <w:jc w:val="center"/>
        <w:tblLayout w:type="fixed"/>
        <w:tblCellMar>
          <w:top w:w="0" w:type="dxa"/>
          <w:left w:w="108" w:type="dxa"/>
          <w:bottom w:w="0" w:type="dxa"/>
          <w:right w:w="108" w:type="dxa"/>
        </w:tblCellMar>
      </w:tblPr>
      <w:tblGrid>
        <w:gridCol w:w="1665"/>
        <w:gridCol w:w="573"/>
        <w:gridCol w:w="10839"/>
        <w:gridCol w:w="771"/>
      </w:tblGrid>
      <w:tr>
        <w:tblPrEx>
          <w:tblCellMar>
            <w:top w:w="0" w:type="dxa"/>
            <w:left w:w="108" w:type="dxa"/>
            <w:bottom w:w="0" w:type="dxa"/>
            <w:right w:w="108" w:type="dxa"/>
          </w:tblCellMar>
        </w:tblPrEx>
        <w:trPr>
          <w:trHeight w:val="284" w:hRule="atLeast"/>
          <w:jc w:val="center"/>
        </w:trPr>
        <w:tc>
          <w:tcPr>
            <w:tcW w:w="1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2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仿宋_GB2312"/>
                <w:color w:val="000000"/>
                <w:szCs w:val="21"/>
              </w:rPr>
            </w:pPr>
            <w:r>
              <w:rPr>
                <w:rFonts w:hint="eastAsia" w:ascii="黑体" w:hAnsi="宋体" w:eastAsia="黑体" w:cs="宋体"/>
                <w:color w:val="000000"/>
                <w:kern w:val="0"/>
                <w:szCs w:val="21"/>
              </w:rPr>
              <w:t>违法违规行为</w:t>
            </w:r>
          </w:p>
        </w:tc>
        <w:tc>
          <w:tcPr>
            <w:tcW w:w="72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numPr>
                <w:ilvl w:val="0"/>
                <w:numId w:val="1"/>
              </w:numPr>
              <w:spacing w:line="240" w:lineRule="exact"/>
              <w:ind w:left="42" w:leftChars="20" w:right="42" w:rightChars="20"/>
              <w:textAlignment w:val="center"/>
              <w:rPr>
                <w:rFonts w:ascii="宋体" w:hAnsi="宋体" w:cs="宋体"/>
                <w:color w:val="000000"/>
                <w:spacing w:val="-2"/>
                <w:kern w:val="0"/>
                <w:szCs w:val="21"/>
              </w:rPr>
            </w:pPr>
            <w:r>
              <w:rPr>
                <w:rFonts w:hint="eastAsia" w:ascii="宋体" w:hAnsi="宋体" w:cs="宋体"/>
                <w:color w:val="000000"/>
                <w:spacing w:val="-2"/>
                <w:kern w:val="0"/>
                <w:szCs w:val="21"/>
              </w:rPr>
              <w:t>许可管理</w:t>
            </w:r>
          </w:p>
        </w:tc>
        <w:tc>
          <w:tcPr>
            <w:tcW w:w="54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c>
          <w:tcPr>
            <w:tcW w:w="10214"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hint="eastAsia" w:ascii="宋体" w:hAnsi="宋体" w:cs="宋体"/>
                <w:color w:val="000000"/>
                <w:kern w:val="21"/>
                <w:szCs w:val="21"/>
              </w:rPr>
            </w:pPr>
            <w:r>
              <w:rPr>
                <w:rFonts w:hint="eastAsia" w:ascii="宋体" w:hAnsi="宋体" w:cs="宋体"/>
                <w:color w:val="000000"/>
                <w:kern w:val="21"/>
                <w:szCs w:val="21"/>
              </w:rPr>
              <w:t>实际经营地址、主体业态（加工经营场所面积明显超过</w:t>
            </w:r>
            <w:r>
              <w:rPr>
                <w:rFonts w:ascii="宋体" w:hAnsi="宋体" w:cs="宋体"/>
                <w:color w:val="000000"/>
                <w:kern w:val="21"/>
                <w:szCs w:val="21"/>
              </w:rPr>
              <w:t>50</w:t>
            </w:r>
            <w:r>
              <w:rPr>
                <w:rFonts w:hint="eastAsia" w:ascii="宋体" w:hAnsi="宋体" w:cs="宋体"/>
                <w:color w:val="000000"/>
                <w:kern w:val="21"/>
                <w:szCs w:val="21"/>
              </w:rPr>
              <w:t>㎡）、经营项目等事项与食品经营许可证不一致。</w:t>
            </w:r>
          </w:p>
        </w:tc>
        <w:tc>
          <w:tcPr>
            <w:tcW w:w="727"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5</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pacing w:val="-2"/>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未设置微小餐饮许可所必须的场所及设施。</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numPr>
                <w:ilvl w:val="0"/>
                <w:numId w:val="1"/>
              </w:numPr>
              <w:spacing w:line="240" w:lineRule="exact"/>
              <w:ind w:left="42" w:leftChars="20" w:right="42" w:rightChars="20"/>
              <w:textAlignment w:val="center"/>
              <w:rPr>
                <w:rFonts w:ascii="宋体" w:hAnsi="宋体" w:cs="宋体"/>
                <w:color w:val="000000"/>
                <w:spacing w:val="-2"/>
                <w:kern w:val="0"/>
                <w:szCs w:val="21"/>
              </w:rPr>
            </w:pPr>
            <w:r>
              <w:rPr>
                <w:rFonts w:hint="eastAsia" w:ascii="宋体" w:hAnsi="宋体" w:cs="宋体"/>
                <w:color w:val="000000"/>
                <w:spacing w:val="-2"/>
                <w:kern w:val="0"/>
                <w:szCs w:val="21"/>
              </w:rPr>
              <w:t>信息公示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3</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未在经营场所醒目位置公示食品经营许可证、量化等级、监督检查记录表信息。</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pacing w:val="-2"/>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4</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未按要求采用开放橱窗、透明玻璃窗</w:t>
            </w:r>
            <w:r>
              <w:rPr>
                <w:rFonts w:ascii="宋体" w:hAnsi="宋体" w:cs="宋体"/>
                <w:color w:val="000000"/>
                <w:kern w:val="21"/>
                <w:szCs w:val="21"/>
              </w:rPr>
              <w:t>（</w:t>
            </w:r>
            <w:r>
              <w:rPr>
                <w:rFonts w:hint="eastAsia" w:ascii="宋体" w:hAnsi="宋体" w:cs="宋体"/>
                <w:color w:val="000000"/>
                <w:kern w:val="21"/>
                <w:szCs w:val="21"/>
              </w:rPr>
              <w:t>或玻璃幕墙</w:t>
            </w:r>
            <w:r>
              <w:rPr>
                <w:rFonts w:ascii="宋体" w:hAnsi="宋体" w:cs="宋体"/>
                <w:color w:val="000000"/>
                <w:kern w:val="21"/>
                <w:szCs w:val="21"/>
              </w:rPr>
              <w:t>）</w:t>
            </w:r>
            <w:r>
              <w:rPr>
                <w:rFonts w:hint="eastAsia" w:ascii="宋体" w:hAnsi="宋体" w:cs="宋体"/>
                <w:color w:val="000000"/>
                <w:kern w:val="21"/>
                <w:szCs w:val="21"/>
              </w:rPr>
              <w:t>、视频显示、隔断矮墙或设置参观窗口等方式方法，将餐饮服务关键环节进行展示。</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numPr>
                <w:ilvl w:val="0"/>
                <w:numId w:val="1"/>
              </w:numPr>
              <w:spacing w:line="240" w:lineRule="exact"/>
              <w:ind w:left="42" w:leftChars="20" w:right="42" w:rightChars="20"/>
              <w:textAlignment w:val="center"/>
              <w:rPr>
                <w:rFonts w:ascii="宋体" w:hAnsi="宋体" w:cs="宋体"/>
                <w:color w:val="000000"/>
                <w:spacing w:val="-2"/>
                <w:kern w:val="0"/>
                <w:szCs w:val="21"/>
              </w:rPr>
            </w:pPr>
            <w:r>
              <w:rPr>
                <w:rFonts w:hint="eastAsia" w:ascii="宋体" w:hAnsi="宋体" w:cs="宋体"/>
                <w:color w:val="000000"/>
                <w:spacing w:val="-2"/>
                <w:kern w:val="0"/>
                <w:szCs w:val="21"/>
              </w:rPr>
              <w:t>制度管理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lang w:eastAsia="zh-TW"/>
              </w:rPr>
            </w:pPr>
            <w:r>
              <w:rPr>
                <w:rFonts w:ascii="宋体" w:hAnsi="宋体" w:cs="宋体"/>
                <w:color w:val="000000"/>
                <w:szCs w:val="21"/>
                <w:lang w:eastAsia="zh-TW"/>
              </w:rPr>
              <w:t>5</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未制定食品安全自查制度、消费者投诉处理制度或未落实的。</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numPr>
                <w:ilvl w:val="0"/>
                <w:numId w:val="1"/>
              </w:numPr>
              <w:spacing w:line="240" w:lineRule="exact"/>
              <w:ind w:left="42" w:leftChars="20" w:right="42" w:rightChars="20"/>
              <w:textAlignment w:val="center"/>
              <w:rPr>
                <w:rFonts w:ascii="宋体" w:hAnsi="宋体" w:cs="宋体"/>
                <w:color w:val="000000"/>
                <w:spacing w:val="-2"/>
                <w:kern w:val="0"/>
                <w:szCs w:val="21"/>
              </w:rPr>
            </w:pPr>
            <w:r>
              <w:rPr>
                <w:rFonts w:hint="eastAsia" w:ascii="宋体" w:hAnsi="宋体" w:cs="宋体"/>
                <w:color w:val="000000"/>
                <w:spacing w:val="-2"/>
                <w:kern w:val="0"/>
                <w:szCs w:val="21"/>
              </w:rPr>
              <w:t>人员管理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lang w:eastAsia="zh-TW"/>
              </w:rPr>
            </w:pPr>
            <w:r>
              <w:rPr>
                <w:rFonts w:ascii="宋体" w:hAnsi="宋体" w:cs="宋体"/>
                <w:color w:val="000000"/>
                <w:kern w:val="0"/>
                <w:szCs w:val="21"/>
                <w:lang w:eastAsia="zh-TW"/>
              </w:rPr>
              <w:t>6</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未按要求配备食品安全管理人员或委托专业服务机构履行职责</w:t>
            </w:r>
            <w:r>
              <w:rPr>
                <w:rFonts w:ascii="宋体" w:hAnsi="宋体" w:cs="宋体"/>
                <w:color w:val="000000"/>
                <w:kern w:val="21"/>
                <w:szCs w:val="21"/>
              </w:rPr>
              <w:t>，</w:t>
            </w:r>
            <w:r>
              <w:rPr>
                <w:rFonts w:hint="eastAsia" w:ascii="宋体" w:hAnsi="宋体" w:cs="宋体"/>
                <w:color w:val="000000"/>
                <w:kern w:val="21"/>
                <w:szCs w:val="21"/>
              </w:rPr>
              <w:t>食品安全管理员经监管抽查考核不具备食品安全管理能力或专业知识培训不合格。</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lang w:eastAsia="zh-TW"/>
              </w:rPr>
            </w:pPr>
            <w:r>
              <w:rPr>
                <w:rFonts w:ascii="宋体" w:hAnsi="宋体" w:cs="宋体"/>
                <w:color w:val="000000"/>
                <w:kern w:val="0"/>
                <w:szCs w:val="21"/>
                <w:lang w:eastAsia="zh-TW"/>
              </w:rPr>
              <w:t>7</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接触直接入口食品工作的从业人员无健康证明或患有有碍食品安全疾病，从事加工经营食品时未穿戴清洁的工作衣帽，未保持个人卫生。</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kern w:val="0"/>
                <w:szCs w:val="21"/>
              </w:rPr>
            </w:pPr>
            <w:r>
              <w:rPr>
                <w:rFonts w:hint="eastAsia" w:ascii="宋体" w:hAnsi="宋体" w:cs="宋体"/>
                <w:color w:val="000000"/>
                <w:kern w:val="0"/>
                <w:szCs w:val="21"/>
              </w:rPr>
              <w:t>五、环境卫生</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lang w:eastAsia="zh-TW"/>
              </w:rPr>
            </w:pPr>
            <w:r>
              <w:rPr>
                <w:rFonts w:ascii="宋体" w:hAnsi="宋体" w:cs="宋体"/>
                <w:color w:val="000000"/>
                <w:kern w:val="0"/>
                <w:szCs w:val="21"/>
                <w:lang w:eastAsia="zh-TW"/>
              </w:rPr>
              <w:t>8</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场所卫生存在以下情形之一的：（</w:t>
            </w:r>
            <w:r>
              <w:rPr>
                <w:rFonts w:ascii="宋体" w:hAnsi="宋体" w:cs="宋体"/>
                <w:color w:val="000000"/>
                <w:kern w:val="21"/>
                <w:szCs w:val="21"/>
              </w:rPr>
              <w:t>1</w:t>
            </w:r>
            <w:r>
              <w:rPr>
                <w:rFonts w:hint="eastAsia" w:ascii="宋体" w:hAnsi="宋体" w:cs="宋体"/>
                <w:color w:val="000000"/>
                <w:kern w:val="21"/>
                <w:szCs w:val="21"/>
              </w:rPr>
              <w:t>）未保持经营场所清洁、卫生，地面、墙壁、天花板和门窗等食品加工经营场所有明显的污垢、脱落，排水沟渠不畅通、地面积水；（</w:t>
            </w:r>
            <w:r>
              <w:rPr>
                <w:rFonts w:ascii="宋体" w:hAnsi="宋体" w:cs="宋体"/>
                <w:color w:val="000000"/>
                <w:kern w:val="21"/>
                <w:szCs w:val="21"/>
              </w:rPr>
              <w:t>2</w:t>
            </w:r>
            <w:r>
              <w:rPr>
                <w:rFonts w:hint="eastAsia" w:ascii="宋体" w:hAnsi="宋体" w:cs="宋体"/>
                <w:color w:val="000000"/>
                <w:kern w:val="21"/>
                <w:szCs w:val="21"/>
              </w:rPr>
              <w:t>）防尘、防蝇、防鼠、防虫设施不齐全，存在蟑螂、虫、鼠害等滋生现象；（</w:t>
            </w:r>
            <w:r>
              <w:rPr>
                <w:rFonts w:ascii="宋体" w:hAnsi="宋体" w:cs="宋体"/>
                <w:color w:val="000000"/>
                <w:kern w:val="21"/>
                <w:szCs w:val="21"/>
              </w:rPr>
              <w:t>3</w:t>
            </w:r>
            <w:r>
              <w:rPr>
                <w:rFonts w:hint="eastAsia" w:ascii="宋体" w:hAnsi="宋体" w:cs="宋体"/>
                <w:color w:val="000000"/>
                <w:kern w:val="21"/>
                <w:szCs w:val="21"/>
              </w:rPr>
              <w:t>）未设有带盖子的废弃物存放容器，废弃物不能及时清理，未按照要求处理餐厨废弃物。</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kern w:val="0"/>
                <w:szCs w:val="21"/>
              </w:rPr>
            </w:pPr>
            <w:r>
              <w:rPr>
                <w:rFonts w:hint="eastAsia" w:ascii="宋体" w:hAnsi="宋体" w:cs="宋体"/>
                <w:color w:val="000000"/>
                <w:kern w:val="0"/>
                <w:szCs w:val="21"/>
              </w:rPr>
              <w:t>六、原料控制</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lang w:eastAsia="zh-TW"/>
              </w:rPr>
            </w:pPr>
            <w:r>
              <w:rPr>
                <w:rFonts w:ascii="宋体" w:hAnsi="宋体" w:cs="宋体"/>
                <w:color w:val="000000"/>
                <w:kern w:val="0"/>
                <w:szCs w:val="21"/>
                <w:lang w:eastAsia="zh-TW"/>
              </w:rPr>
              <w:t>9</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采购的食品、食品添加剂的，未依法进行索证索票和进货查验，没有留存每次购货凭证；由连锁总部统一采购的，各门店未能提供企业总部食品供货商的资质证明、食品合格证明文件等资料、接货清单。</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left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r>
              <w:rPr>
                <w:rFonts w:ascii="宋体" w:hAnsi="宋体" w:cs="宋体"/>
                <w:color w:val="000000"/>
                <w:kern w:val="0"/>
                <w:szCs w:val="21"/>
                <w:lang w:eastAsia="zh-TW"/>
              </w:rPr>
              <w:t>0</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原料存在以下不符合要求的情形之一：（</w:t>
            </w:r>
            <w:r>
              <w:rPr>
                <w:rFonts w:ascii="宋体" w:hAnsi="宋体" w:cs="宋体"/>
                <w:color w:val="000000"/>
                <w:kern w:val="21"/>
                <w:szCs w:val="21"/>
              </w:rPr>
              <w:t>1</w:t>
            </w:r>
            <w:r>
              <w:rPr>
                <w:rFonts w:hint="eastAsia" w:ascii="宋体" w:hAnsi="宋体" w:cs="宋体"/>
                <w:color w:val="000000"/>
                <w:kern w:val="21"/>
                <w:szCs w:val="21"/>
              </w:rPr>
              <w:t>）原料外包装标识不符合要求；（</w:t>
            </w:r>
            <w:r>
              <w:rPr>
                <w:rFonts w:ascii="宋体" w:hAnsi="宋体" w:cs="宋体"/>
                <w:color w:val="000000"/>
                <w:kern w:val="21"/>
                <w:szCs w:val="21"/>
              </w:rPr>
              <w:t>2</w:t>
            </w:r>
            <w:r>
              <w:rPr>
                <w:rFonts w:hint="eastAsia" w:ascii="宋体" w:hAnsi="宋体" w:cs="宋体"/>
                <w:color w:val="000000"/>
                <w:kern w:val="21"/>
                <w:szCs w:val="21"/>
              </w:rPr>
              <w:t>）未按照外包装标识的条件和食品安全要求贮存；（</w:t>
            </w:r>
            <w:r>
              <w:rPr>
                <w:rFonts w:ascii="宋体" w:hAnsi="宋体" w:cs="宋体"/>
                <w:color w:val="000000"/>
                <w:kern w:val="21"/>
                <w:szCs w:val="21"/>
              </w:rPr>
              <w:t>3</w:t>
            </w:r>
            <w:r>
              <w:rPr>
                <w:rFonts w:hint="eastAsia" w:ascii="宋体" w:hAnsi="宋体" w:cs="宋体"/>
                <w:color w:val="000000"/>
                <w:kern w:val="21"/>
                <w:szCs w:val="21"/>
              </w:rPr>
              <w:t>）采购使用不符合食品安全标准的食品原料、食品添加剂；（</w:t>
            </w:r>
            <w:r>
              <w:rPr>
                <w:rFonts w:ascii="宋体" w:hAnsi="宋体" w:cs="宋体"/>
                <w:color w:val="000000"/>
                <w:kern w:val="21"/>
                <w:szCs w:val="21"/>
              </w:rPr>
              <w:t>4</w:t>
            </w:r>
            <w:r>
              <w:rPr>
                <w:rFonts w:hint="eastAsia" w:ascii="宋体" w:hAnsi="宋体" w:cs="宋体"/>
                <w:color w:val="000000"/>
                <w:kern w:val="21"/>
                <w:szCs w:val="21"/>
              </w:rPr>
              <w:t>）食品原料与有毒、有害物品一同贮存；（</w:t>
            </w:r>
            <w:r>
              <w:rPr>
                <w:rFonts w:ascii="宋体" w:hAnsi="宋体" w:cs="宋体"/>
                <w:color w:val="000000"/>
                <w:kern w:val="21"/>
                <w:szCs w:val="21"/>
              </w:rPr>
              <w:t>5</w:t>
            </w:r>
            <w:r>
              <w:rPr>
                <w:rFonts w:hint="eastAsia" w:ascii="宋体" w:hAnsi="宋体" w:cs="宋体"/>
                <w:color w:val="000000"/>
                <w:kern w:val="21"/>
                <w:szCs w:val="21"/>
              </w:rPr>
              <w:t>）用水不符合国家规定的生活饮用水卫生标准。</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11</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存在国家禁止生产经营的以下较严重情形之一的：（</w:t>
            </w:r>
            <w:r>
              <w:rPr>
                <w:rFonts w:ascii="宋体" w:hAnsi="宋体" w:cs="宋体"/>
                <w:color w:val="000000"/>
                <w:kern w:val="21"/>
                <w:szCs w:val="21"/>
              </w:rPr>
              <w:t>1</w:t>
            </w:r>
            <w:r>
              <w:rPr>
                <w:rFonts w:hint="eastAsia" w:ascii="宋体" w:hAnsi="宋体" w:cs="宋体"/>
                <w:color w:val="000000"/>
                <w:kern w:val="21"/>
                <w:szCs w:val="21"/>
              </w:rPr>
              <w:t>）使用超过保质期、腐败变质、油脂酸败、霉变生虫、污秽不洁、混有异物、掺假掺杂或感官性状异常的食品、食品添加剂；（</w:t>
            </w:r>
            <w:r>
              <w:rPr>
                <w:rFonts w:ascii="宋体" w:hAnsi="宋体" w:cs="宋体"/>
                <w:color w:val="000000"/>
                <w:kern w:val="21"/>
                <w:szCs w:val="21"/>
              </w:rPr>
              <w:t>2</w:t>
            </w:r>
            <w:r>
              <w:rPr>
                <w:rFonts w:hint="eastAsia" w:ascii="宋体" w:hAnsi="宋体" w:cs="宋体"/>
                <w:color w:val="000000"/>
                <w:kern w:val="21"/>
                <w:szCs w:val="21"/>
              </w:rPr>
              <w:t>）生产经营致病性微生物，农药残留、兽药残留、生物毒素、重金属等污染物质以及其他危害人体健康的物质含量超过食品安全标准限量的食品、食品添加剂；（</w:t>
            </w:r>
            <w:r>
              <w:rPr>
                <w:rFonts w:ascii="宋体" w:hAnsi="宋体" w:cs="宋体"/>
                <w:color w:val="000000"/>
                <w:kern w:val="21"/>
                <w:szCs w:val="21"/>
              </w:rPr>
              <w:t>3</w:t>
            </w:r>
            <w:r>
              <w:rPr>
                <w:rFonts w:hint="eastAsia" w:ascii="宋体" w:hAnsi="宋体" w:cs="宋体"/>
                <w:color w:val="000000"/>
                <w:kern w:val="21"/>
                <w:szCs w:val="21"/>
              </w:rPr>
              <w:t>）利用新的食品原料生产食品未通过安全性评估。</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5</w:t>
            </w:r>
          </w:p>
        </w:tc>
      </w:tr>
      <w:tr>
        <w:tblPrEx>
          <w:tblCellMar>
            <w:top w:w="0" w:type="dxa"/>
            <w:left w:w="108" w:type="dxa"/>
            <w:bottom w:w="0" w:type="dxa"/>
            <w:right w:w="108" w:type="dxa"/>
          </w:tblCellMar>
        </w:tblPrEx>
        <w:trPr>
          <w:trHeight w:val="284" w:hRule="atLeast"/>
          <w:jc w:val="center"/>
        </w:trPr>
        <w:tc>
          <w:tcPr>
            <w:tcW w:w="1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40" w:lineRule="exact"/>
              <w:ind w:left="42" w:leftChars="20" w:right="42" w:rightChars="20"/>
              <w:rPr>
                <w:rFonts w:ascii="宋体" w:hAnsi="宋体" w:cs="宋体"/>
                <w:color w:val="000000"/>
                <w:szCs w:val="21"/>
              </w:rPr>
            </w:pPr>
            <w:r>
              <w:rPr>
                <w:rFonts w:hint="eastAsia" w:ascii="宋体" w:hAnsi="宋体" w:cs="宋体"/>
                <w:color w:val="000000"/>
                <w:kern w:val="0"/>
                <w:szCs w:val="21"/>
              </w:rPr>
              <w:t>七、加工过程</w:t>
            </w: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12</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发现食品存放时存在污染的情形：（</w:t>
            </w:r>
            <w:r>
              <w:rPr>
                <w:rFonts w:ascii="宋体" w:hAnsi="宋体" w:cs="宋体"/>
                <w:color w:val="000000"/>
                <w:kern w:val="21"/>
                <w:szCs w:val="21"/>
              </w:rPr>
              <w:t>1</w:t>
            </w:r>
            <w:r>
              <w:rPr>
                <w:rFonts w:hint="eastAsia" w:ascii="宋体" w:hAnsi="宋体" w:cs="宋体"/>
                <w:color w:val="000000"/>
                <w:kern w:val="21"/>
                <w:szCs w:val="21"/>
              </w:rPr>
              <w:t>）食品原料、半成品与成品未分开存放，相应工用具或容器能明显区分；（</w:t>
            </w:r>
            <w:r>
              <w:rPr>
                <w:rFonts w:ascii="宋体" w:hAnsi="宋体" w:cs="宋体"/>
                <w:color w:val="000000"/>
                <w:kern w:val="21"/>
                <w:szCs w:val="21"/>
              </w:rPr>
              <w:t>2</w:t>
            </w:r>
            <w:r>
              <w:rPr>
                <w:rFonts w:hint="eastAsia" w:ascii="宋体" w:hAnsi="宋体" w:cs="宋体"/>
                <w:color w:val="000000"/>
                <w:kern w:val="21"/>
                <w:szCs w:val="21"/>
              </w:rPr>
              <w:t>）用于盛装即食用餐饮用具、已盛装即食食品容器直接放置于地上，未做食品安全防护措施的；（</w:t>
            </w:r>
            <w:r>
              <w:rPr>
                <w:rFonts w:ascii="宋体" w:hAnsi="宋体" w:cs="宋体"/>
                <w:color w:val="000000"/>
                <w:kern w:val="21"/>
                <w:szCs w:val="21"/>
              </w:rPr>
              <w:t>3</w:t>
            </w:r>
            <w:r>
              <w:rPr>
                <w:rFonts w:hint="eastAsia" w:ascii="宋体" w:hAnsi="宋体" w:cs="宋体"/>
                <w:color w:val="000000"/>
                <w:kern w:val="21"/>
                <w:szCs w:val="21"/>
              </w:rPr>
              <w:t>）食品原料清洗、餐用具清洗消毒以及清洁工用具清洗水池</w:t>
            </w:r>
            <w:r>
              <w:rPr>
                <w:rFonts w:ascii="宋体" w:hAnsi="宋体" w:cs="宋体"/>
                <w:color w:val="000000"/>
                <w:kern w:val="21"/>
                <w:szCs w:val="21"/>
              </w:rPr>
              <w:t>（</w:t>
            </w:r>
            <w:r>
              <w:rPr>
                <w:rFonts w:hint="eastAsia" w:ascii="宋体" w:hAnsi="宋体" w:cs="宋体"/>
                <w:color w:val="000000"/>
                <w:kern w:val="21"/>
                <w:szCs w:val="21"/>
              </w:rPr>
              <w:t>容器</w:t>
            </w:r>
            <w:r>
              <w:rPr>
                <w:rFonts w:ascii="宋体" w:hAnsi="宋体" w:cs="宋体"/>
                <w:color w:val="000000"/>
                <w:kern w:val="21"/>
                <w:szCs w:val="21"/>
              </w:rPr>
              <w:t>）</w:t>
            </w:r>
            <w:r>
              <w:rPr>
                <w:rFonts w:hint="eastAsia" w:ascii="宋体" w:hAnsi="宋体" w:cs="宋体"/>
                <w:color w:val="000000"/>
                <w:kern w:val="21"/>
                <w:szCs w:val="21"/>
              </w:rPr>
              <w:t>未分开专用；（</w:t>
            </w:r>
            <w:r>
              <w:rPr>
                <w:rFonts w:ascii="宋体" w:hAnsi="宋体" w:cs="宋体"/>
                <w:color w:val="000000"/>
                <w:kern w:val="21"/>
                <w:szCs w:val="21"/>
              </w:rPr>
              <w:t>4</w:t>
            </w:r>
            <w:r>
              <w:rPr>
                <w:rFonts w:hint="eastAsia" w:ascii="宋体" w:hAnsi="宋体" w:cs="宋体"/>
                <w:color w:val="000000"/>
                <w:kern w:val="21"/>
                <w:szCs w:val="21"/>
              </w:rPr>
              <w:t>）存在污染食品及其加工制作过程的其他情形。</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bl>
    <w:p>
      <w:pPr>
        <w:rPr>
          <w:rFonts w:hint="eastAsia"/>
        </w:rPr>
      </w:pPr>
    </w:p>
    <w:tbl>
      <w:tblPr>
        <w:tblStyle w:val="4"/>
        <w:tblW w:w="4965" w:type="pct"/>
        <w:jc w:val="center"/>
        <w:tblLayout w:type="fixed"/>
        <w:tblCellMar>
          <w:top w:w="0" w:type="dxa"/>
          <w:left w:w="108" w:type="dxa"/>
          <w:bottom w:w="0" w:type="dxa"/>
          <w:right w:w="108" w:type="dxa"/>
        </w:tblCellMar>
      </w:tblPr>
      <w:tblGrid>
        <w:gridCol w:w="1665"/>
        <w:gridCol w:w="573"/>
        <w:gridCol w:w="10839"/>
        <w:gridCol w:w="813"/>
      </w:tblGrid>
      <w:tr>
        <w:tblPrEx>
          <w:tblCellMar>
            <w:top w:w="0" w:type="dxa"/>
            <w:left w:w="108" w:type="dxa"/>
            <w:bottom w:w="0" w:type="dxa"/>
            <w:right w:w="108" w:type="dxa"/>
          </w:tblCellMar>
        </w:tblPrEx>
        <w:trPr>
          <w:trHeight w:val="284" w:hRule="atLeast"/>
          <w:jc w:val="center"/>
        </w:trPr>
        <w:tc>
          <w:tcPr>
            <w:tcW w:w="1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2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仿宋_GB2312"/>
                <w:color w:val="000000"/>
                <w:szCs w:val="21"/>
              </w:rPr>
            </w:pPr>
            <w:r>
              <w:rPr>
                <w:rFonts w:hint="eastAsia" w:ascii="黑体" w:hAnsi="宋体" w:eastAsia="黑体" w:cs="宋体"/>
                <w:color w:val="000000"/>
                <w:kern w:val="0"/>
                <w:szCs w:val="21"/>
              </w:rPr>
              <w:t>违法违规行为</w:t>
            </w:r>
          </w:p>
        </w:tc>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宋体"/>
                <w:color w:val="000000"/>
                <w:szCs w:val="21"/>
              </w:rPr>
            </w:pPr>
            <w:r>
              <w:rPr>
                <w:rFonts w:hint="eastAsia" w:ascii="宋体" w:hAnsi="宋体" w:cs="宋体"/>
                <w:color w:val="000000"/>
                <w:kern w:val="0"/>
                <w:szCs w:val="21"/>
              </w:rPr>
              <w:t>七、加工过程</w:t>
            </w: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13</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食品成品存放的温度和时间不符合规范要求。</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14</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超范围、超限量使用食品添加剂。</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60"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八、设施设备</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15</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直接接触食品的容器、工具和包装材料不符合食品安全标准或要求。</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rPr>
                <w:rFonts w:ascii="宋体" w:hAnsi="宋体" w:cs="宋体"/>
                <w:color w:val="000000"/>
                <w:kern w:val="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16</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食品处理区未按要求设置相应数量的洗手设施（含洗手、干手用品</w:t>
            </w:r>
            <w:r>
              <w:rPr>
                <w:rFonts w:ascii="宋体" w:hAnsi="宋体" w:cs="宋体"/>
                <w:color w:val="000000"/>
                <w:kern w:val="21"/>
                <w:szCs w:val="21"/>
              </w:rPr>
              <w:t>）</w:t>
            </w:r>
            <w:r>
              <w:rPr>
                <w:rFonts w:hint="eastAsia" w:ascii="宋体" w:hAnsi="宋体" w:cs="宋体"/>
                <w:color w:val="000000"/>
                <w:kern w:val="21"/>
                <w:szCs w:val="21"/>
              </w:rPr>
              <w:t>。</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60" w:lineRule="exact"/>
              <w:ind w:left="42" w:leftChars="20" w:right="42" w:rightChars="20"/>
              <w:rPr>
                <w:rFonts w:ascii="宋体" w:hAnsi="宋体" w:cs="宋体"/>
                <w:color w:val="000000"/>
                <w:spacing w:val="-2"/>
                <w:kern w:val="0"/>
                <w:szCs w:val="21"/>
              </w:rPr>
            </w:pPr>
            <w:r>
              <w:rPr>
                <w:rFonts w:hint="eastAsia" w:ascii="宋体" w:hAnsi="宋体" w:cs="宋体"/>
                <w:color w:val="000000"/>
                <w:spacing w:val="-2"/>
                <w:kern w:val="0"/>
                <w:szCs w:val="21"/>
              </w:rPr>
              <w:t>九、餐饮具洗消</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17</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未按要求对餐具、饮具进行清洗、消毒和保洁，购置、使用集中消毒企业供应的餐饮具，未按规定查验其经营资质及索取消毒合格凭证和供货票据。</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60"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十、网络经营</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18</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网络供餐未取得“网络经营”许可，未在经营行为主页面公示其食品经营许可证、食品安全量化等级等信息；无保证食品安全的送餐措施或未委托具备相应运输能力的企业送餐。</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42" w:leftChars="-20" w:right="42" w:rightChars="20"/>
              <w:rPr>
                <w:rFonts w:ascii="宋体" w:hAnsi="宋体"/>
                <w:kern w:val="21"/>
                <w:szCs w:val="21"/>
              </w:rPr>
            </w:pPr>
            <w:r>
              <w:rPr>
                <w:rFonts w:hint="eastAsia" w:ascii="宋体" w:hAnsi="宋体"/>
                <w:kern w:val="21"/>
                <w:szCs w:val="21"/>
              </w:rPr>
              <w:t>十一、其他</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19</w:t>
            </w:r>
          </w:p>
        </w:tc>
        <w:tc>
          <w:tcPr>
            <w:tcW w:w="102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rPr>
                <w:rFonts w:ascii="宋体" w:hAnsi="宋体" w:cs="宋体"/>
                <w:color w:val="000000"/>
                <w:kern w:val="21"/>
                <w:szCs w:val="21"/>
              </w:rPr>
            </w:pPr>
            <w:r>
              <w:rPr>
                <w:rFonts w:hint="eastAsia" w:ascii="宋体" w:hAnsi="宋体" w:cs="宋体"/>
                <w:color w:val="000000"/>
                <w:kern w:val="21"/>
                <w:szCs w:val="21"/>
              </w:rPr>
              <w:t>未遵守控烟要求：</w:t>
            </w:r>
            <w:r>
              <w:rPr>
                <w:rFonts w:ascii="宋体" w:hAnsi="宋体" w:cs="宋体"/>
                <w:color w:val="000000"/>
                <w:kern w:val="21"/>
                <w:szCs w:val="21"/>
              </w:rPr>
              <w:t>（1）</w:t>
            </w:r>
            <w:r>
              <w:rPr>
                <w:rFonts w:hint="eastAsia" w:ascii="宋体" w:hAnsi="宋体" w:cs="宋体"/>
                <w:color w:val="000000"/>
                <w:kern w:val="21"/>
                <w:szCs w:val="21"/>
              </w:rPr>
              <w:t>警示标识未张贴；（</w:t>
            </w:r>
            <w:r>
              <w:rPr>
                <w:rFonts w:ascii="宋体" w:hAnsi="宋体" w:cs="宋体"/>
                <w:color w:val="000000"/>
                <w:kern w:val="21"/>
                <w:szCs w:val="21"/>
              </w:rPr>
              <w:t>2</w:t>
            </w:r>
            <w:r>
              <w:rPr>
                <w:rFonts w:hint="eastAsia" w:ascii="宋体" w:hAnsi="宋体" w:cs="宋体"/>
                <w:color w:val="000000"/>
                <w:kern w:val="21"/>
                <w:szCs w:val="21"/>
              </w:rPr>
              <w:t>）未能及时制止在非吸烟区吸烟。</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bl>
    <w:p>
      <w:pPr>
        <w:spacing w:before="72" w:beforeLines="30" w:line="32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注：★以下情形需要当场实施行政强制措施的，由监管部门另依据《食品安全法》《行政强制法》等有关规定执行。</w:t>
      </w:r>
    </w:p>
    <w:p>
      <w:pPr>
        <w:spacing w:line="320" w:lineRule="exact"/>
        <w:ind w:firstLine="420" w:firstLineChars="200"/>
        <w:rPr>
          <w:rFonts w:hint="eastAsia" w:ascii="楷体_GB2312" w:hAnsi="宋体" w:eastAsia="楷体_GB2312" w:cs="宋体"/>
          <w:color w:val="000000"/>
          <w:szCs w:val="21"/>
        </w:rPr>
      </w:pPr>
      <w:r>
        <w:rPr>
          <w:rFonts w:ascii="楷体_GB2312" w:hAnsi="宋体" w:eastAsia="楷体_GB2312" w:cs="宋体"/>
          <w:color w:val="000000"/>
          <w:szCs w:val="21"/>
        </w:rPr>
        <w:t>1．</w:t>
      </w:r>
      <w:r>
        <w:rPr>
          <w:rFonts w:hint="eastAsia" w:ascii="楷体_GB2312" w:hAnsi="宋体" w:eastAsia="楷体_GB2312" w:cs="宋体"/>
          <w:color w:val="000000"/>
          <w:szCs w:val="21"/>
        </w:rPr>
        <w:t>造成食品安全事故、对人体健康造成严重危害的、影响较大的食品安全不良社会影响。</w:t>
      </w:r>
    </w:p>
    <w:p>
      <w:pPr>
        <w:spacing w:line="320" w:lineRule="exact"/>
        <w:ind w:firstLine="420" w:firstLineChars="200"/>
        <w:rPr>
          <w:rFonts w:hint="eastAsia" w:ascii="楷体_GB2312" w:hAnsi="宋体" w:eastAsia="楷体_GB2312" w:cs="宋体"/>
          <w:color w:val="000000"/>
          <w:szCs w:val="21"/>
        </w:rPr>
      </w:pPr>
      <w:r>
        <w:rPr>
          <w:rFonts w:ascii="楷体_GB2312" w:hAnsi="宋体" w:eastAsia="楷体_GB2312" w:cs="宋体"/>
          <w:color w:val="000000"/>
          <w:szCs w:val="21"/>
        </w:rPr>
        <w:t>2．</w:t>
      </w:r>
      <w:r>
        <w:rPr>
          <w:rFonts w:hint="eastAsia" w:ascii="楷体_GB2312" w:hAnsi="宋体" w:eastAsia="楷体_GB2312" w:cs="宋体"/>
          <w:color w:val="000000"/>
          <w:szCs w:val="21"/>
        </w:rPr>
        <w:t>存在国家禁止生产经营的以下严重情形之一的：</w:t>
      </w:r>
    </w:p>
    <w:p>
      <w:pPr>
        <w:spacing w:line="32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w:t>
      </w:r>
      <w:r>
        <w:rPr>
          <w:rFonts w:ascii="楷体_GB2312" w:hAnsi="宋体" w:eastAsia="楷体_GB2312" w:cs="宋体"/>
          <w:color w:val="000000"/>
          <w:szCs w:val="21"/>
        </w:rPr>
        <w:t>1</w:t>
      </w:r>
      <w:r>
        <w:rPr>
          <w:rFonts w:hint="eastAsia" w:ascii="楷体_GB2312" w:hAnsi="宋体" w:eastAsia="楷体_GB2312" w:cs="宋体"/>
          <w:color w:val="000000"/>
          <w:szCs w:val="21"/>
        </w:rPr>
        <w:t>）用非食品原料或添加食品添加剂以外的化学物质和其他可能危害人体健康物质加工食品，或用回收食品作为原料生产的食品；</w:t>
      </w:r>
    </w:p>
    <w:p>
      <w:pPr>
        <w:spacing w:line="32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w:t>
      </w:r>
      <w:r>
        <w:rPr>
          <w:rFonts w:ascii="楷体_GB2312" w:hAnsi="宋体" w:eastAsia="楷体_GB2312" w:cs="宋体"/>
          <w:color w:val="000000"/>
          <w:szCs w:val="21"/>
        </w:rPr>
        <w:t>2</w:t>
      </w:r>
      <w:r>
        <w:rPr>
          <w:rFonts w:hint="eastAsia" w:ascii="楷体_GB2312" w:hAnsi="宋体" w:eastAsia="楷体_GB2312" w:cs="宋体"/>
          <w:color w:val="000000"/>
          <w:szCs w:val="21"/>
        </w:rPr>
        <w:t>）食品用病死、毒死或死因不明的禽、畜、兽、水产动物肉类及其制品；</w:t>
      </w:r>
    </w:p>
    <w:p>
      <w:pPr>
        <w:spacing w:line="320" w:lineRule="exact"/>
        <w:ind w:firstLine="420" w:firstLineChars="200"/>
        <w:rPr>
          <w:rFonts w:ascii="楷体_GB2312" w:hAnsi="宋体" w:eastAsia="楷体_GB2312" w:cs="宋体"/>
          <w:color w:val="000000"/>
          <w:szCs w:val="21"/>
        </w:rPr>
      </w:pPr>
      <w:r>
        <w:rPr>
          <w:rFonts w:hint="eastAsia" w:ascii="楷体_GB2312" w:hAnsi="宋体" w:eastAsia="楷体_GB2312" w:cs="宋体"/>
          <w:color w:val="000000"/>
          <w:szCs w:val="21"/>
        </w:rPr>
        <w:t>（</w:t>
      </w:r>
      <w:r>
        <w:rPr>
          <w:rFonts w:ascii="楷体_GB2312" w:hAnsi="宋体" w:eastAsia="楷体_GB2312" w:cs="宋体"/>
          <w:color w:val="000000"/>
          <w:szCs w:val="21"/>
        </w:rPr>
        <w:t>3</w:t>
      </w:r>
      <w:r>
        <w:rPr>
          <w:rFonts w:hint="eastAsia" w:ascii="楷体_GB2312" w:hAnsi="宋体" w:eastAsia="楷体_GB2312" w:cs="宋体"/>
          <w:color w:val="000000"/>
          <w:szCs w:val="21"/>
        </w:rPr>
        <w:t>）未按规定进行检疫或经检疫不合格的肉类或肉类制品及其他国家明令禁止生产经营的食品及原料（药品、非允许的河豚鱼品种等）。</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2899"/>
    <w:multiLevelType w:val="multilevel"/>
    <w:tmpl w:val="13822899"/>
    <w:lvl w:ilvl="0" w:tentative="0">
      <w:start w:val="1"/>
      <w:numFmt w:val="japaneseCounting"/>
      <w:lvlText w:val="%1、"/>
      <w:lvlJc w:val="left"/>
      <w:pPr>
        <w:tabs>
          <w:tab w:val="left" w:pos="441"/>
        </w:tabs>
        <w:ind w:left="441" w:hanging="420"/>
      </w:pPr>
      <w:rPr>
        <w:rFonts w:hint="default"/>
      </w:rPr>
    </w:lvl>
    <w:lvl w:ilvl="1" w:tentative="0">
      <w:start w:val="1"/>
      <w:numFmt w:val="lowerLetter"/>
      <w:lvlText w:val="%2)"/>
      <w:lvlJc w:val="left"/>
      <w:pPr>
        <w:tabs>
          <w:tab w:val="left" w:pos="861"/>
        </w:tabs>
        <w:ind w:left="861" w:hanging="420"/>
      </w:pPr>
    </w:lvl>
    <w:lvl w:ilvl="2" w:tentative="0">
      <w:start w:val="1"/>
      <w:numFmt w:val="lowerRoman"/>
      <w:lvlText w:val="%3."/>
      <w:lvlJc w:val="right"/>
      <w:pPr>
        <w:tabs>
          <w:tab w:val="left" w:pos="1281"/>
        </w:tabs>
        <w:ind w:left="1281" w:hanging="420"/>
      </w:pPr>
    </w:lvl>
    <w:lvl w:ilvl="3" w:tentative="0">
      <w:start w:val="1"/>
      <w:numFmt w:val="decimal"/>
      <w:lvlText w:val="%4."/>
      <w:lvlJc w:val="left"/>
      <w:pPr>
        <w:tabs>
          <w:tab w:val="left" w:pos="1701"/>
        </w:tabs>
        <w:ind w:left="1701" w:hanging="420"/>
      </w:pPr>
    </w:lvl>
    <w:lvl w:ilvl="4" w:tentative="0">
      <w:start w:val="1"/>
      <w:numFmt w:val="lowerLetter"/>
      <w:lvlText w:val="%5)"/>
      <w:lvlJc w:val="left"/>
      <w:pPr>
        <w:tabs>
          <w:tab w:val="left" w:pos="2121"/>
        </w:tabs>
        <w:ind w:left="2121" w:hanging="420"/>
      </w:pPr>
    </w:lvl>
    <w:lvl w:ilvl="5" w:tentative="0">
      <w:start w:val="1"/>
      <w:numFmt w:val="lowerRoman"/>
      <w:lvlText w:val="%6."/>
      <w:lvlJc w:val="right"/>
      <w:pPr>
        <w:tabs>
          <w:tab w:val="left" w:pos="2541"/>
        </w:tabs>
        <w:ind w:left="2541" w:hanging="420"/>
      </w:pPr>
    </w:lvl>
    <w:lvl w:ilvl="6" w:tentative="0">
      <w:start w:val="1"/>
      <w:numFmt w:val="decimal"/>
      <w:lvlText w:val="%7."/>
      <w:lvlJc w:val="left"/>
      <w:pPr>
        <w:tabs>
          <w:tab w:val="left" w:pos="2961"/>
        </w:tabs>
        <w:ind w:left="2961" w:hanging="420"/>
      </w:pPr>
    </w:lvl>
    <w:lvl w:ilvl="7" w:tentative="0">
      <w:start w:val="1"/>
      <w:numFmt w:val="lowerLetter"/>
      <w:lvlText w:val="%8)"/>
      <w:lvlJc w:val="left"/>
      <w:pPr>
        <w:tabs>
          <w:tab w:val="left" w:pos="3381"/>
        </w:tabs>
        <w:ind w:left="3381" w:hanging="420"/>
      </w:pPr>
    </w:lvl>
    <w:lvl w:ilvl="8" w:tentative="0">
      <w:start w:val="1"/>
      <w:numFmt w:val="lowerRoman"/>
      <w:lvlText w:val="%9."/>
      <w:lvlJc w:val="right"/>
      <w:pPr>
        <w:tabs>
          <w:tab w:val="left" w:pos="3801"/>
        </w:tabs>
        <w:ind w:left="3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07AA"/>
    <w:rsid w:val="06C207AA"/>
    <w:rsid w:val="134A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2019-12-23T02:49:00Z</dcterms:created>
  <dc:creator>Jus</dc:creator>
  <cp:lastModifiedBy>Jus</cp:lastModifiedBy>
  <dcterms:modified xsi:type="dcterms:W3CDTF">2019-12-23T02:50:32Z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