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tLeast"/>
        <w:rPr>
          <w:rFonts w:hint="eastAsia" w:ascii="宋体" w:hAnsi="宋体"/>
          <w:sz w:val="24"/>
          <w:szCs w:val="24"/>
        </w:rPr>
      </w:pPr>
      <w:r>
        <w:rPr>
          <w:rFonts w:hint="eastAsia" w:ascii="宋体" w:hAnsi="宋体"/>
          <w:sz w:val="24"/>
          <w:szCs w:val="24"/>
        </w:rPr>
        <w:t>附件1-1</w:t>
      </w:r>
    </w:p>
    <w:p>
      <w:pPr>
        <w:spacing w:line="0" w:lineRule="atLeast"/>
        <w:jc w:val="center"/>
        <w:rPr>
          <w:rFonts w:hint="eastAsia" w:ascii="宋体" w:hAnsi="宋体"/>
          <w:sz w:val="36"/>
          <w:szCs w:val="36"/>
        </w:rPr>
      </w:pPr>
      <w:r>
        <w:rPr>
          <w:rFonts w:hint="eastAsia" w:ascii="宋体" w:hAnsi="宋体"/>
          <w:sz w:val="36"/>
          <w:szCs w:val="36"/>
        </w:rPr>
        <w:t>深圳市食品安全违法行为记分检查表</w:t>
      </w:r>
    </w:p>
    <w:p>
      <w:pPr>
        <w:spacing w:before="48" w:beforeLines="20" w:after="72" w:afterLines="30" w:line="0" w:lineRule="atLeast"/>
        <w:jc w:val="center"/>
        <w:rPr>
          <w:rFonts w:hint="eastAsia" w:ascii="仿宋_GB2312" w:hAnsi="宋体" w:eastAsia="仿宋_GB2312"/>
          <w:sz w:val="30"/>
          <w:szCs w:val="30"/>
        </w:rPr>
      </w:pPr>
      <w:r>
        <w:rPr>
          <w:rFonts w:hint="eastAsia" w:ascii="仿宋_GB2312" w:hAnsi="宋体" w:eastAsia="仿宋_GB2312"/>
          <w:sz w:val="30"/>
          <w:szCs w:val="30"/>
        </w:rPr>
        <w:t>（普通餐饮单位）</w:t>
      </w:r>
    </w:p>
    <w:tbl>
      <w:tblPr>
        <w:tblStyle w:val="4"/>
        <w:tblW w:w="4950" w:type="pct"/>
        <w:jc w:val="center"/>
        <w:tblLayout w:type="fixed"/>
        <w:tblCellMar>
          <w:top w:w="0" w:type="dxa"/>
          <w:left w:w="108" w:type="dxa"/>
          <w:bottom w:w="0" w:type="dxa"/>
          <w:right w:w="108" w:type="dxa"/>
        </w:tblCellMar>
      </w:tblPr>
      <w:tblGrid>
        <w:gridCol w:w="1665"/>
        <w:gridCol w:w="573"/>
        <w:gridCol w:w="10764"/>
        <w:gridCol w:w="846"/>
      </w:tblGrid>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0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检查类别</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0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0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违法违规行为（适用情形）</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0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记分值</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42" w:leftChars="20" w:right="42" w:rightChars="20"/>
              <w:textAlignment w:val="center"/>
              <w:rPr>
                <w:rFonts w:ascii="宋体" w:hAnsi="宋体" w:cs="宋体"/>
                <w:color w:val="000000"/>
                <w:kern w:val="0"/>
                <w:szCs w:val="21"/>
              </w:rPr>
            </w:pPr>
            <w:r>
              <w:rPr>
                <w:rFonts w:hint="eastAsia" w:ascii="宋体" w:hAnsi="宋体" w:cs="宋体"/>
                <w:color w:val="000000"/>
                <w:kern w:val="0"/>
                <w:szCs w:val="21"/>
              </w:rPr>
              <w:t>一、许可管理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实际经营地址、主体业态、经营项目等事项与食品经营许可证不一致，经营条件不再符合食品安全要求未按要求立即整改或上报。</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5</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二、信息公示</w:t>
            </w:r>
          </w:p>
        </w:tc>
        <w:tc>
          <w:tcPr>
            <w:tcW w:w="54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2</w:t>
            </w:r>
          </w:p>
        </w:tc>
        <w:tc>
          <w:tcPr>
            <w:tcW w:w="1014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未在经营场所醒目位置公示食品经营许可证、量化等级、监督检查记录表。</w:t>
            </w:r>
          </w:p>
        </w:tc>
        <w:tc>
          <w:tcPr>
            <w:tcW w:w="797"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000000" w:sz="4" w:space="0"/>
              <w:left w:val="single" w:color="000000" w:sz="4" w:space="0"/>
              <w:bottom w:val="nil"/>
              <w:right w:val="single" w:color="000000" w:sz="4" w:space="0"/>
            </w:tcBorders>
            <w:noWrap w:val="0"/>
            <w:vAlign w:val="center"/>
          </w:tcPr>
          <w:p>
            <w:pPr>
              <w:widowControl/>
              <w:spacing w:line="24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3</w:t>
            </w:r>
          </w:p>
        </w:tc>
        <w:tc>
          <w:tcPr>
            <w:tcW w:w="1014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未按要求采用开放橱窗、透明玻璃窗</w:t>
            </w:r>
            <w:r>
              <w:rPr>
                <w:rFonts w:ascii="宋体" w:hAnsi="宋体" w:cs="宋体"/>
                <w:color w:val="000000"/>
                <w:kern w:val="21"/>
                <w:szCs w:val="21"/>
              </w:rPr>
              <w:t>（</w:t>
            </w:r>
            <w:r>
              <w:rPr>
                <w:rFonts w:hint="eastAsia" w:ascii="宋体" w:hAnsi="宋体" w:cs="宋体"/>
                <w:color w:val="000000"/>
                <w:kern w:val="21"/>
                <w:szCs w:val="21"/>
              </w:rPr>
              <w:t>或玻璃幕墙</w:t>
            </w:r>
            <w:r>
              <w:rPr>
                <w:rFonts w:ascii="宋体" w:hAnsi="宋体" w:cs="宋体"/>
                <w:color w:val="000000"/>
                <w:kern w:val="21"/>
                <w:szCs w:val="21"/>
              </w:rPr>
              <w:t>）</w:t>
            </w:r>
            <w:r>
              <w:rPr>
                <w:rFonts w:hint="eastAsia" w:ascii="宋体" w:hAnsi="宋体" w:cs="宋体"/>
                <w:color w:val="000000"/>
                <w:kern w:val="21"/>
                <w:szCs w:val="21"/>
              </w:rPr>
              <w:t>、视频显示、隔断矮墙或设置参观窗口等方式方法，将餐饮服务关键环节进行展示。</w:t>
            </w:r>
          </w:p>
        </w:tc>
        <w:tc>
          <w:tcPr>
            <w:tcW w:w="797"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三、制度管理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4</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未建立从业人员健康、食品安全自查、进货查验记录、过程控制、投诉处理等相应的食品安全管理制度，未按要求落实自查记录，列入重点监督对象的餐饮单位未进行自查报告备案。</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000000" w:sz="4" w:space="0"/>
              <w:left w:val="single" w:color="000000" w:sz="4" w:space="0"/>
              <w:bottom w:val="nil"/>
              <w:right w:val="single" w:color="000000" w:sz="4" w:space="0"/>
            </w:tcBorders>
            <w:noWrap w:val="0"/>
            <w:vAlign w:val="center"/>
          </w:tcPr>
          <w:p>
            <w:pPr>
              <w:widowControl/>
              <w:spacing w:line="24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5</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未制定食品安全事故处置方案或方案内容不符合要求。</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四、人员管理</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6</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未按要求配备食品安全管理人员或委托专业服务机构履行职责</w:t>
            </w:r>
            <w:r>
              <w:rPr>
                <w:rFonts w:ascii="宋体" w:hAnsi="宋体" w:cs="宋体"/>
                <w:color w:val="000000"/>
                <w:kern w:val="21"/>
                <w:szCs w:val="21"/>
              </w:rPr>
              <w:t>，</w:t>
            </w:r>
            <w:r>
              <w:rPr>
                <w:rFonts w:hint="eastAsia" w:ascii="宋体" w:hAnsi="宋体" w:cs="宋体"/>
                <w:color w:val="000000"/>
                <w:kern w:val="21"/>
                <w:szCs w:val="21"/>
              </w:rPr>
              <w:t>食品安全管理员经监管抽查考核不具备食品安全管理能力或专业知识培训不合格。</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5</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7</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接触直接入口食品工作的从业人员无有效健康证明或患有有碍食品安全疾病。</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8</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从业人员加工经营食品时未穿戴清洁的工作衣帽、双手不清洁、未保持个人卫生。</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9</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从业人员未进行食品安全培训。</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4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五、环境卫生</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10</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经营场所卫生未保持清洁：地面、墙壁、天花板和门窗等不洁净，排水沟渠不畅通，废弃物不能及时清理；与污染源未达到规定的距离；食品处理区内设有厕所；有圈养或宰杀活的禽畜类动物。</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42" w:leftChars="20" w:right="42" w:rightChars="20"/>
              <w:textAlignment w:val="center"/>
              <w:rPr>
                <w:rFonts w:ascii="宋体" w:hAnsi="宋体" w:cs="宋体"/>
                <w:color w:val="000000"/>
                <w:szCs w:val="21"/>
              </w:rPr>
            </w:pPr>
            <w:r>
              <w:rPr>
                <w:rFonts w:hint="eastAsia" w:ascii="宋体" w:hAnsi="宋体" w:cs="宋体"/>
                <w:color w:val="000000"/>
                <w:kern w:val="0"/>
                <w:szCs w:val="21"/>
              </w:rPr>
              <w:t>六、原料控制</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11</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未按规定查验供货者的许可证和检验合格证明，未如实记录有关信息并保存相关购物凭证。</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left w:val="single" w:color="000000" w:sz="4" w:space="0"/>
              <w:right w:val="single" w:color="000000" w:sz="4" w:space="0"/>
            </w:tcBorders>
            <w:noWrap w:val="0"/>
            <w:vAlign w:val="center"/>
          </w:tcPr>
          <w:p>
            <w:pPr>
              <w:widowControl/>
              <w:spacing w:line="240" w:lineRule="exact"/>
              <w:ind w:left="21" w:leftChars="10" w:right="21" w:rightChars="1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12</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hint="eastAsia" w:ascii="宋体" w:hAnsi="宋体" w:cs="宋体"/>
                <w:color w:val="000000"/>
                <w:szCs w:val="21"/>
              </w:rPr>
            </w:pPr>
            <w:r>
              <w:rPr>
                <w:rFonts w:hint="eastAsia" w:ascii="宋体" w:hAnsi="宋体" w:cs="宋体"/>
                <w:color w:val="000000"/>
                <w:kern w:val="0"/>
                <w:szCs w:val="21"/>
              </w:rPr>
              <w:t>原料外包装标识不符合要求。</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left w:val="single" w:color="000000" w:sz="4" w:space="0"/>
              <w:right w:val="single" w:color="000000" w:sz="4" w:space="0"/>
            </w:tcBorders>
            <w:noWrap w:val="0"/>
            <w:vAlign w:val="center"/>
          </w:tcPr>
          <w:p>
            <w:pPr>
              <w:widowControl/>
              <w:spacing w:line="240" w:lineRule="exact"/>
              <w:ind w:left="21" w:leftChars="10" w:right="21" w:rightChars="1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13</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食品原料贮存存在以下情形之一的：（</w:t>
            </w:r>
            <w:r>
              <w:rPr>
                <w:rFonts w:ascii="宋体" w:hAnsi="宋体" w:cs="宋体"/>
                <w:color w:val="000000"/>
                <w:kern w:val="21"/>
                <w:szCs w:val="21"/>
              </w:rPr>
              <w:t>1</w:t>
            </w:r>
            <w:r>
              <w:rPr>
                <w:rFonts w:hint="eastAsia" w:ascii="宋体" w:hAnsi="宋体" w:cs="宋体"/>
                <w:color w:val="000000"/>
                <w:kern w:val="21"/>
                <w:szCs w:val="21"/>
              </w:rPr>
              <w:t>）未按照外包装标识的条件和食品安全要求贮存食品原料；（</w:t>
            </w:r>
            <w:r>
              <w:rPr>
                <w:rFonts w:ascii="宋体" w:hAnsi="宋体" w:cs="宋体"/>
                <w:color w:val="000000"/>
                <w:kern w:val="21"/>
                <w:szCs w:val="21"/>
              </w:rPr>
              <w:t>2</w:t>
            </w:r>
            <w:r>
              <w:rPr>
                <w:rFonts w:hint="eastAsia" w:ascii="宋体" w:hAnsi="宋体" w:cs="宋体"/>
                <w:color w:val="000000"/>
                <w:kern w:val="21"/>
                <w:szCs w:val="21"/>
              </w:rPr>
              <w:t>）未分类、离地存放食品原料；（</w:t>
            </w:r>
            <w:r>
              <w:rPr>
                <w:rFonts w:ascii="宋体" w:hAnsi="宋体" w:cs="宋体"/>
                <w:color w:val="000000"/>
                <w:kern w:val="21"/>
                <w:szCs w:val="21"/>
              </w:rPr>
              <w:t>3</w:t>
            </w:r>
            <w:r>
              <w:rPr>
                <w:rFonts w:hint="eastAsia" w:ascii="宋体" w:hAnsi="宋体" w:cs="宋体"/>
                <w:color w:val="000000"/>
                <w:kern w:val="21"/>
                <w:szCs w:val="21"/>
              </w:rPr>
              <w:t>）有变质或超过保质期限的食品原料未及时清理；（</w:t>
            </w:r>
            <w:r>
              <w:rPr>
                <w:rFonts w:ascii="宋体" w:hAnsi="宋体" w:cs="宋体"/>
                <w:color w:val="000000"/>
                <w:kern w:val="21"/>
                <w:szCs w:val="21"/>
              </w:rPr>
              <w:t>4</w:t>
            </w:r>
            <w:r>
              <w:rPr>
                <w:rFonts w:hint="eastAsia" w:ascii="宋体" w:hAnsi="宋体" w:cs="宋体"/>
                <w:color w:val="000000"/>
                <w:kern w:val="21"/>
                <w:szCs w:val="21"/>
              </w:rPr>
              <w:t>）未对贮存的散装食品进行信息标明；（</w:t>
            </w:r>
            <w:r>
              <w:rPr>
                <w:rFonts w:ascii="宋体" w:hAnsi="宋体" w:cs="宋体"/>
                <w:color w:val="000000"/>
                <w:kern w:val="21"/>
                <w:szCs w:val="21"/>
              </w:rPr>
              <w:t>5</w:t>
            </w:r>
            <w:r>
              <w:rPr>
                <w:rFonts w:hint="eastAsia" w:ascii="宋体" w:hAnsi="宋体" w:cs="宋体"/>
                <w:color w:val="000000"/>
                <w:kern w:val="21"/>
                <w:szCs w:val="21"/>
              </w:rPr>
              <w:t>）食品原料与有毒、有害物品一同贮存、运输。</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left w:val="single" w:color="000000" w:sz="4" w:space="0"/>
              <w:right w:val="single" w:color="000000" w:sz="4" w:space="0"/>
            </w:tcBorders>
            <w:noWrap w:val="0"/>
            <w:vAlign w:val="center"/>
          </w:tcPr>
          <w:p>
            <w:pPr>
              <w:widowControl/>
              <w:spacing w:line="240" w:lineRule="exact"/>
              <w:ind w:left="21" w:leftChars="10" w:right="21" w:rightChars="1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14</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食品加工用水不符合国家</w:t>
            </w:r>
            <w:r>
              <w:rPr>
                <w:rFonts w:ascii="宋体" w:hAnsi="宋体" w:cs="宋体"/>
                <w:color w:val="000000"/>
                <w:kern w:val="21"/>
                <w:szCs w:val="21"/>
              </w:rPr>
              <w:t>GB5749</w:t>
            </w:r>
            <w:r>
              <w:rPr>
                <w:rFonts w:hint="eastAsia" w:ascii="宋体" w:hAnsi="宋体" w:cs="宋体"/>
                <w:color w:val="000000"/>
                <w:kern w:val="21"/>
                <w:szCs w:val="21"/>
              </w:rPr>
              <w:t>《生活饮用水卫生标准》，自备水源未能提供有资质的检测机构出具的水质检测合格报告，接触食品成品的水未经过水净化设施处理或未使用可直接饮用水。</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40" w:lineRule="exact"/>
              <w:ind w:left="21" w:leftChars="10" w:right="21" w:rightChars="1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15</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36"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存在国家禁止生产经营的以下较严重情形之一的：（</w:t>
            </w:r>
            <w:r>
              <w:rPr>
                <w:rFonts w:ascii="宋体" w:hAnsi="宋体" w:cs="宋体"/>
                <w:color w:val="000000"/>
                <w:kern w:val="21"/>
                <w:szCs w:val="21"/>
              </w:rPr>
              <w:t>1</w:t>
            </w:r>
            <w:r>
              <w:rPr>
                <w:rFonts w:hint="eastAsia" w:ascii="宋体" w:hAnsi="宋体" w:cs="宋体"/>
                <w:color w:val="000000"/>
                <w:kern w:val="21"/>
                <w:szCs w:val="21"/>
              </w:rPr>
              <w:t>）使用超过保质期、腐败变质、油脂酸败、霉变生虫、污秽不洁、混有异物、掺假掺杂或感官性状异常的食品、食品添加剂；（</w:t>
            </w:r>
            <w:r>
              <w:rPr>
                <w:rFonts w:ascii="宋体" w:hAnsi="宋体" w:cs="宋体"/>
                <w:color w:val="000000"/>
                <w:kern w:val="21"/>
                <w:szCs w:val="21"/>
              </w:rPr>
              <w:t>2</w:t>
            </w:r>
            <w:r>
              <w:rPr>
                <w:rFonts w:hint="eastAsia" w:ascii="宋体" w:hAnsi="宋体" w:cs="宋体"/>
                <w:color w:val="000000"/>
                <w:kern w:val="21"/>
                <w:szCs w:val="21"/>
              </w:rPr>
              <w:t>）生产经营致病性微生物，农药残留、兽药残留、生物毒素、重金属等污染物质以及其他危害人体健康的物质含量超过食品安全标准限量的食品、食品添加剂；（</w:t>
            </w:r>
            <w:r>
              <w:rPr>
                <w:rFonts w:ascii="宋体" w:hAnsi="宋体" w:cs="宋体"/>
                <w:color w:val="000000"/>
                <w:kern w:val="21"/>
                <w:szCs w:val="21"/>
              </w:rPr>
              <w:t>3</w:t>
            </w:r>
            <w:r>
              <w:rPr>
                <w:rFonts w:hint="eastAsia" w:ascii="宋体" w:hAnsi="宋体" w:cs="宋体"/>
                <w:color w:val="000000"/>
                <w:kern w:val="21"/>
                <w:szCs w:val="21"/>
              </w:rPr>
              <w:t>）利用新的食品原料生产食品未通过安全性评估。</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5</w:t>
            </w:r>
          </w:p>
        </w:tc>
      </w:tr>
    </w:tbl>
    <w:p>
      <w:pPr>
        <w:rPr>
          <w:rFonts w:hint="eastAsia"/>
        </w:rPr>
      </w:pPr>
    </w:p>
    <w:tbl>
      <w:tblPr>
        <w:tblStyle w:val="4"/>
        <w:tblW w:w="4950" w:type="pct"/>
        <w:jc w:val="center"/>
        <w:tblLayout w:type="fixed"/>
        <w:tblCellMar>
          <w:top w:w="0" w:type="dxa"/>
          <w:left w:w="108" w:type="dxa"/>
          <w:bottom w:w="0" w:type="dxa"/>
          <w:right w:w="108" w:type="dxa"/>
        </w:tblCellMar>
      </w:tblPr>
      <w:tblGrid>
        <w:gridCol w:w="1665"/>
        <w:gridCol w:w="573"/>
        <w:gridCol w:w="10764"/>
        <w:gridCol w:w="846"/>
      </w:tblGrid>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检查类别</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违法违规行为（适用情形）</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记分值</w:t>
            </w:r>
          </w:p>
        </w:tc>
      </w:tr>
      <w:tr>
        <w:tblPrEx>
          <w:tblCellMar>
            <w:top w:w="0" w:type="dxa"/>
            <w:left w:w="108" w:type="dxa"/>
            <w:bottom w:w="0" w:type="dxa"/>
            <w:right w:w="108" w:type="dxa"/>
          </w:tblCellMar>
        </w:tblPrEx>
        <w:trPr>
          <w:trHeight w:val="284" w:hRule="atLeast"/>
          <w:jc w:val="center"/>
        </w:trPr>
        <w:tc>
          <w:tcPr>
            <w:tcW w:w="1569" w:type="dxa"/>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60" w:lineRule="exact"/>
              <w:ind w:left="42" w:leftChars="20" w:right="42" w:rightChars="20"/>
              <w:rPr>
                <w:rFonts w:ascii="宋体" w:hAnsi="宋体" w:cs="宋体"/>
                <w:color w:val="000000"/>
                <w:szCs w:val="21"/>
              </w:rPr>
            </w:pPr>
            <w:r>
              <w:rPr>
                <w:rFonts w:hint="eastAsia" w:ascii="宋体" w:hAnsi="宋体" w:cs="宋体"/>
                <w:color w:val="000000"/>
                <w:kern w:val="0"/>
                <w:szCs w:val="21"/>
              </w:rPr>
              <w:t>六、原料控制</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16</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hint="eastAsia" w:ascii="宋体" w:hAnsi="宋体" w:cs="宋体"/>
                <w:color w:val="000000"/>
                <w:kern w:val="0"/>
                <w:szCs w:val="21"/>
              </w:rPr>
            </w:pPr>
            <w:r>
              <w:rPr>
                <w:rFonts w:hint="eastAsia" w:ascii="宋体" w:hAnsi="宋体" w:cs="宋体"/>
                <w:color w:val="000000"/>
                <w:kern w:val="0"/>
                <w:szCs w:val="21"/>
              </w:rPr>
              <w:t>采购或使用不符合食品安全标准的食品原料（除</w:t>
            </w:r>
            <w:r>
              <w:rPr>
                <w:rFonts w:ascii="宋体" w:hAnsi="宋体" w:cs="宋体"/>
                <w:color w:val="000000"/>
                <w:kern w:val="0"/>
                <w:szCs w:val="21"/>
              </w:rPr>
              <w:t>15</w:t>
            </w:r>
            <w:r>
              <w:rPr>
                <w:rFonts w:hint="eastAsia" w:ascii="宋体" w:hAnsi="宋体" w:cs="宋体"/>
                <w:color w:val="000000"/>
                <w:kern w:val="0"/>
                <w:szCs w:val="21"/>
              </w:rPr>
              <w:t>项以外的情形）。</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60" w:lineRule="exact"/>
              <w:ind w:left="42" w:leftChars="20" w:right="42" w:rightChars="20"/>
              <w:rPr>
                <w:rFonts w:ascii="宋体" w:hAnsi="宋体" w:cs="宋体"/>
                <w:color w:val="000000"/>
                <w:szCs w:val="21"/>
              </w:rPr>
            </w:pPr>
            <w:r>
              <w:rPr>
                <w:rFonts w:hint="eastAsia" w:ascii="宋体" w:hAnsi="宋体" w:cs="宋体"/>
                <w:color w:val="000000"/>
                <w:szCs w:val="21"/>
              </w:rPr>
              <w:t>七、加工过程</w:t>
            </w:r>
          </w:p>
        </w:tc>
        <w:tc>
          <w:tcPr>
            <w:tcW w:w="54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17</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未采取有效防护措施避免食品受到污染：（</w:t>
            </w:r>
            <w:r>
              <w:rPr>
                <w:rFonts w:ascii="宋体" w:hAnsi="宋体" w:cs="宋体"/>
                <w:color w:val="000000"/>
                <w:kern w:val="21"/>
                <w:szCs w:val="21"/>
              </w:rPr>
              <w:t>1</w:t>
            </w:r>
            <w:r>
              <w:rPr>
                <w:rFonts w:hint="eastAsia" w:ascii="宋体" w:hAnsi="宋体" w:cs="宋体"/>
                <w:color w:val="000000"/>
                <w:kern w:val="21"/>
                <w:szCs w:val="21"/>
              </w:rPr>
              <w:t>）食品原料、半成品与成品在盛放、贮存时未相互分开；（</w:t>
            </w:r>
            <w:r>
              <w:rPr>
                <w:rFonts w:ascii="宋体" w:hAnsi="宋体" w:cs="宋体"/>
                <w:color w:val="000000"/>
                <w:kern w:val="21"/>
                <w:szCs w:val="21"/>
              </w:rPr>
              <w:t>2</w:t>
            </w:r>
            <w:r>
              <w:rPr>
                <w:rFonts w:hint="eastAsia" w:ascii="宋体" w:hAnsi="宋体" w:cs="宋体"/>
                <w:color w:val="000000"/>
                <w:kern w:val="21"/>
                <w:szCs w:val="21"/>
              </w:rPr>
              <w:t>）用于盛装成品的餐饮容器直接放置地上；（</w:t>
            </w:r>
            <w:r>
              <w:rPr>
                <w:rFonts w:ascii="宋体" w:hAnsi="宋体" w:cs="宋体"/>
                <w:color w:val="000000"/>
                <w:kern w:val="21"/>
                <w:szCs w:val="21"/>
              </w:rPr>
              <w:t>3</w:t>
            </w:r>
            <w:r>
              <w:rPr>
                <w:rFonts w:hint="eastAsia" w:ascii="宋体" w:hAnsi="宋体" w:cs="宋体"/>
                <w:color w:val="000000"/>
                <w:kern w:val="21"/>
                <w:szCs w:val="21"/>
              </w:rPr>
              <w:t>）食品原料清洗、餐用具清洗消毒以及清洁工用具清洗水池</w:t>
            </w:r>
            <w:r>
              <w:rPr>
                <w:rFonts w:ascii="宋体" w:hAnsi="宋体" w:cs="宋体"/>
                <w:color w:val="000000"/>
                <w:kern w:val="21"/>
                <w:szCs w:val="21"/>
              </w:rPr>
              <w:t>（</w:t>
            </w:r>
            <w:r>
              <w:rPr>
                <w:rFonts w:hint="eastAsia" w:ascii="宋体" w:hAnsi="宋体" w:cs="宋体"/>
                <w:color w:val="000000"/>
                <w:kern w:val="21"/>
                <w:szCs w:val="21"/>
              </w:rPr>
              <w:t>容器</w:t>
            </w:r>
            <w:r>
              <w:rPr>
                <w:rFonts w:ascii="宋体" w:hAnsi="宋体" w:cs="宋体"/>
                <w:color w:val="000000"/>
                <w:kern w:val="21"/>
                <w:szCs w:val="21"/>
              </w:rPr>
              <w:t>）</w:t>
            </w:r>
            <w:r>
              <w:rPr>
                <w:rFonts w:hint="eastAsia" w:ascii="宋体" w:hAnsi="宋体" w:cs="宋体"/>
                <w:color w:val="000000"/>
                <w:kern w:val="21"/>
                <w:szCs w:val="21"/>
              </w:rPr>
              <w:t>未分开专用；（</w:t>
            </w:r>
            <w:r>
              <w:rPr>
                <w:rFonts w:ascii="宋体" w:hAnsi="宋体" w:cs="宋体"/>
                <w:color w:val="000000"/>
                <w:kern w:val="21"/>
                <w:szCs w:val="21"/>
              </w:rPr>
              <w:t>4</w:t>
            </w:r>
            <w:r>
              <w:rPr>
                <w:rFonts w:hint="eastAsia" w:ascii="宋体" w:hAnsi="宋体" w:cs="宋体"/>
                <w:color w:val="000000"/>
                <w:kern w:val="21"/>
                <w:szCs w:val="21"/>
              </w:rPr>
              <w:t>）存在污染食品及其加工制作过程的其他情形。</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18</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食品成品存放的温度和时间不符合规范的要求。</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tabs>
                <w:tab w:val="center" w:pos="4153"/>
                <w:tab w:val="right" w:pos="8306"/>
              </w:tabs>
              <w:snapToGrid w:val="0"/>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19</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abs>
                <w:tab w:val="center" w:pos="4153"/>
                <w:tab w:val="right" w:pos="8306"/>
              </w:tabs>
              <w:snapToGrid w:val="0"/>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超范围、超限量使用食品添加剂。</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abs>
                <w:tab w:val="center" w:pos="4153"/>
                <w:tab w:val="right" w:pos="8306"/>
              </w:tabs>
              <w:snapToGrid w:val="0"/>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20</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应该食品留样的餐饮单位留样不符合规范要求。</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21</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专间或专用操作场所存在以下问题之一的：（</w:t>
            </w:r>
            <w:r>
              <w:rPr>
                <w:rFonts w:ascii="宋体" w:hAnsi="宋体" w:cs="宋体"/>
                <w:color w:val="000000"/>
                <w:kern w:val="21"/>
                <w:szCs w:val="21"/>
              </w:rPr>
              <w:t>1</w:t>
            </w:r>
            <w:r>
              <w:rPr>
                <w:rFonts w:hint="eastAsia" w:ascii="宋体" w:hAnsi="宋体" w:cs="宋体"/>
                <w:color w:val="000000"/>
                <w:kern w:val="21"/>
                <w:szCs w:val="21"/>
              </w:rPr>
              <w:t>）未配备符合许可标准要求的专间或专用操作场所与专用设施；（</w:t>
            </w:r>
            <w:r>
              <w:rPr>
                <w:rFonts w:ascii="宋体" w:hAnsi="宋体" w:cs="宋体"/>
                <w:color w:val="000000"/>
                <w:kern w:val="21"/>
                <w:szCs w:val="21"/>
              </w:rPr>
              <w:t>2</w:t>
            </w:r>
            <w:r>
              <w:rPr>
                <w:rFonts w:hint="eastAsia" w:ascii="宋体" w:hAnsi="宋体" w:cs="宋体"/>
                <w:color w:val="000000"/>
                <w:kern w:val="21"/>
                <w:szCs w:val="21"/>
              </w:rPr>
              <w:t>）加工制作过程不符合规范要求，存在污染成品的食品安全的情形。</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zCs w:val="21"/>
              </w:rPr>
            </w:pPr>
            <w:r>
              <w:rPr>
                <w:rFonts w:hint="eastAsia" w:ascii="宋体" w:hAnsi="宋体" w:cs="宋体"/>
                <w:color w:val="000000"/>
                <w:spacing w:val="-2"/>
                <w:kern w:val="0"/>
                <w:szCs w:val="21"/>
              </w:rPr>
              <w:t>八</w:t>
            </w:r>
            <w:r>
              <w:rPr>
                <w:rFonts w:hint="eastAsia" w:ascii="宋体" w:hAnsi="宋体" w:cs="宋体"/>
                <w:color w:val="000000"/>
                <w:spacing w:val="-2"/>
                <w:kern w:val="21"/>
                <w:szCs w:val="21"/>
              </w:rPr>
              <w:t>、场所及设施</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22</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spacing w:val="-2"/>
                <w:kern w:val="21"/>
                <w:szCs w:val="21"/>
              </w:rPr>
            </w:pPr>
            <w:r>
              <w:rPr>
                <w:rFonts w:hint="eastAsia" w:ascii="宋体" w:hAnsi="宋体" w:cs="宋体"/>
                <w:color w:val="000000"/>
                <w:spacing w:val="-2"/>
                <w:kern w:val="21"/>
                <w:szCs w:val="21"/>
              </w:rPr>
              <w:t>用于清洗、加工、贮存、陈列、防尘、防蝇、防鼠和防虫、通风、排烟、照明等设施或场所设置不符合实际经</w:t>
            </w:r>
            <w:r>
              <w:rPr>
                <w:rFonts w:hint="eastAsia" w:ascii="宋体" w:hAnsi="宋体" w:cs="宋体"/>
                <w:color w:val="000000"/>
                <w:spacing w:val="-3"/>
                <w:kern w:val="21"/>
                <w:szCs w:val="21"/>
              </w:rPr>
              <w:t>营许可需要或不能正常使用；冷藏、热保存设施数量或大小不能满足生熟分开存放，有蟑螂、老鼠等有害生物。</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23</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盛放原料、半成品、成品的容器和使用的工具、设备，无明显标识或未分开使用。</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szCs w:val="21"/>
              </w:rPr>
              <w:t>1</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24</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食品处理区未设置能正常运转、足够数量的洗手设施（含洗手、干手设施）；专间和专用操作区入口处未设置能正常使用的洗手消毒设施（含洗手、干手、消毒设施）。</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ind w:left="42" w:leftChars="20" w:right="42" w:rightChars="20"/>
              <w:rPr>
                <w:rFonts w:ascii="宋体" w:hAnsi="宋体" w:cs="宋体"/>
                <w:color w:val="000000"/>
                <w:szCs w:val="21"/>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25</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szCs w:val="21"/>
              </w:rPr>
              <w:t>直接接触食品的容器、工具和包装材料不符合食品安全标准或要求，未保持清洁。</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1</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spacing w:val="-2"/>
                <w:kern w:val="21"/>
                <w:szCs w:val="21"/>
              </w:rPr>
            </w:pPr>
            <w:r>
              <w:rPr>
                <w:rFonts w:hint="eastAsia" w:ascii="宋体" w:hAnsi="宋体" w:cs="宋体"/>
                <w:color w:val="000000"/>
                <w:spacing w:val="-2"/>
                <w:kern w:val="21"/>
                <w:szCs w:val="21"/>
              </w:rPr>
              <w:t>九、餐饮具洗消</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26</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餐具、饮具和盛放直接入口食品的容器使用前未按要求洗净消毒和保洁的；购置、使用集中消毒企业供应的餐具、饮具，未查验其经营资质、索取消毒合格凭证的。</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60" w:lineRule="exact"/>
              <w:ind w:left="42" w:leftChars="20" w:right="42" w:rightChars="20"/>
              <w:textAlignment w:val="center"/>
              <w:rPr>
                <w:rFonts w:ascii="宋体" w:hAnsi="宋体" w:cs="宋体"/>
                <w:color w:val="000000"/>
                <w:kern w:val="0"/>
                <w:szCs w:val="21"/>
              </w:rPr>
            </w:pPr>
            <w:r>
              <w:rPr>
                <w:rFonts w:hint="eastAsia" w:ascii="宋体" w:hAnsi="宋体" w:cs="宋体"/>
                <w:color w:val="000000"/>
                <w:spacing w:val="-6"/>
                <w:kern w:val="21"/>
                <w:szCs w:val="21"/>
              </w:rPr>
              <w:t>十、集体用餐配</w:t>
            </w:r>
            <w:r>
              <w:rPr>
                <w:rFonts w:hint="eastAsia" w:ascii="宋体" w:hAnsi="宋体" w:cs="宋体"/>
                <w:color w:val="000000"/>
                <w:kern w:val="0"/>
                <w:szCs w:val="21"/>
              </w:rPr>
              <w:t>送、中央厨房</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abs>
                <w:tab w:val="center" w:pos="4153"/>
                <w:tab w:val="right" w:pos="8306"/>
              </w:tabs>
              <w:snapToGrid w:val="0"/>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27</w:t>
            </w:r>
          </w:p>
        </w:tc>
        <w:tc>
          <w:tcPr>
            <w:tcW w:w="1014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abs>
                <w:tab w:val="center" w:pos="4153"/>
                <w:tab w:val="right" w:pos="8306"/>
              </w:tabs>
              <w:snapToGrid w:val="0"/>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集体用餐配送、中央厨房等有关食品运输过程的车辆、贮存、包装或容器、标识、温度、时间、禁止配送品种、检验不符合规范要求。</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abs>
                <w:tab w:val="center" w:pos="4153"/>
                <w:tab w:val="right" w:pos="8306"/>
              </w:tabs>
              <w:snapToGrid w:val="0"/>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tabs>
                <w:tab w:val="center" w:pos="4153"/>
                <w:tab w:val="right" w:pos="8306"/>
              </w:tabs>
              <w:spacing w:line="260" w:lineRule="exact"/>
              <w:ind w:left="42" w:leftChars="20" w:right="42" w:rightChars="20"/>
              <w:textAlignment w:val="center"/>
              <w:rPr>
                <w:rFonts w:ascii="宋体" w:hAnsi="宋体" w:cs="宋体"/>
                <w:color w:val="000000"/>
                <w:spacing w:val="-4"/>
                <w:kern w:val="21"/>
                <w:szCs w:val="21"/>
              </w:rPr>
            </w:pPr>
            <w:r>
              <w:rPr>
                <w:rFonts w:hint="eastAsia" w:ascii="宋体" w:hAnsi="宋体" w:cs="宋体"/>
                <w:color w:val="000000"/>
                <w:spacing w:val="-4"/>
                <w:kern w:val="21"/>
                <w:szCs w:val="21"/>
              </w:rPr>
              <w:t>十</w:t>
            </w:r>
            <w:r>
              <w:rPr>
                <w:rFonts w:hint="eastAsia" w:ascii="宋体" w:hAnsi="宋体" w:cs="宋体"/>
                <w:color w:val="000000"/>
                <w:spacing w:val="-2"/>
                <w:kern w:val="21"/>
                <w:szCs w:val="21"/>
              </w:rPr>
              <w:t>一、网络订餐</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tabs>
                <w:tab w:val="center" w:pos="4153"/>
                <w:tab w:val="right" w:pos="8306"/>
              </w:tabs>
              <w:snapToGrid w:val="0"/>
              <w:spacing w:line="26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szCs w:val="21"/>
              </w:rPr>
              <w:t>28</w:t>
            </w:r>
          </w:p>
        </w:tc>
        <w:tc>
          <w:tcPr>
            <w:tcW w:w="1014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tabs>
                <w:tab w:val="center" w:pos="4153"/>
                <w:tab w:val="right" w:pos="8306"/>
              </w:tabs>
              <w:snapToGrid w:val="0"/>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网络供餐未取得“网络经营”许可，未在经营行为主页面公示其食品经营许可证、食品安全量化等级等信息；无保证食品安全的送餐措施或未委托具备相应运输能力的企业送餐。</w:t>
            </w:r>
          </w:p>
        </w:tc>
        <w:tc>
          <w:tcPr>
            <w:tcW w:w="797"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tabs>
                <w:tab w:val="center" w:pos="4153"/>
                <w:tab w:val="right" w:pos="8306"/>
              </w:tabs>
              <w:snapToGrid w:val="0"/>
              <w:spacing w:line="240" w:lineRule="exact"/>
              <w:ind w:left="21" w:leftChars="10" w:right="21" w:rightChars="10"/>
              <w:jc w:val="center"/>
              <w:textAlignment w:val="center"/>
              <w:rPr>
                <w:rFonts w:ascii="宋体" w:hAnsi="宋体" w:cs="宋体"/>
                <w:color w:val="000000"/>
                <w:kern w:val="0"/>
                <w:szCs w:val="21"/>
              </w:rPr>
            </w:pPr>
            <w:r>
              <w:rPr>
                <w:rFonts w:ascii="宋体" w:hAnsi="宋体" w:cs="宋体"/>
                <w:color w:val="000000"/>
                <w:kern w:val="0"/>
                <w:szCs w:val="21"/>
              </w:rPr>
              <w:t>2</w:t>
            </w:r>
          </w:p>
        </w:tc>
      </w:tr>
      <w:tr>
        <w:tblPrEx>
          <w:tblCellMar>
            <w:top w:w="0" w:type="dxa"/>
            <w:left w:w="108" w:type="dxa"/>
            <w:bottom w:w="0" w:type="dxa"/>
            <w:right w:w="108" w:type="dxa"/>
          </w:tblCellMar>
        </w:tblPrEx>
        <w:trPr>
          <w:trHeight w:val="284" w:hRule="atLeast"/>
          <w:jc w:val="center"/>
        </w:trPr>
        <w:tc>
          <w:tcPr>
            <w:tcW w:w="156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abs>
                <w:tab w:val="center" w:pos="4153"/>
                <w:tab w:val="right" w:pos="8306"/>
              </w:tabs>
              <w:spacing w:line="260" w:lineRule="exact"/>
              <w:ind w:left="-42" w:leftChars="-20" w:right="42" w:rightChars="20"/>
              <w:rPr>
                <w:rFonts w:ascii="宋体" w:hAnsi="宋体" w:cs="宋体"/>
                <w:color w:val="000000"/>
                <w:szCs w:val="21"/>
              </w:rPr>
            </w:pPr>
            <w:r>
              <w:rPr>
                <w:rFonts w:hint="eastAsia" w:ascii="宋体" w:hAnsi="宋体" w:cs="宋体"/>
                <w:color w:val="000000"/>
                <w:szCs w:val="21"/>
              </w:rPr>
              <w:t>十二、其他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widowControl/>
              <w:tabs>
                <w:tab w:val="center" w:pos="4153"/>
                <w:tab w:val="right" w:pos="8306"/>
              </w:tabs>
              <w:snapToGrid w:val="0"/>
              <w:spacing w:line="26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29</w:t>
            </w:r>
          </w:p>
        </w:tc>
        <w:tc>
          <w:tcPr>
            <w:tcW w:w="1014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15" w:type="dxa"/>
              <w:right w:w="15" w:type="dxa"/>
            </w:tcMar>
            <w:vAlign w:val="center"/>
          </w:tcPr>
          <w:p>
            <w:pPr>
              <w:widowControl/>
              <w:tabs>
                <w:tab w:val="center" w:pos="4153"/>
                <w:tab w:val="right" w:pos="8306"/>
              </w:tabs>
              <w:snapToGrid w:val="0"/>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w:t>
            </w:r>
            <w:r>
              <w:rPr>
                <w:rFonts w:hint="eastAsia" w:ascii="宋体" w:hAnsi="宋体" w:cs="宋体"/>
                <w:color w:val="000000"/>
                <w:kern w:val="21"/>
                <w:szCs w:val="21"/>
              </w:rPr>
              <w:t>遵守控烟要求：</w:t>
            </w:r>
            <w:r>
              <w:rPr>
                <w:rFonts w:ascii="宋体" w:hAnsi="宋体" w:cs="宋体"/>
                <w:color w:val="000000"/>
                <w:kern w:val="21"/>
                <w:szCs w:val="21"/>
              </w:rPr>
              <w:t>（1）</w:t>
            </w:r>
            <w:r>
              <w:rPr>
                <w:rFonts w:hint="eastAsia" w:ascii="宋体" w:hAnsi="宋体" w:cs="宋体"/>
                <w:color w:val="000000"/>
                <w:kern w:val="21"/>
                <w:szCs w:val="21"/>
              </w:rPr>
              <w:t>警示标识未张贴；（</w:t>
            </w:r>
            <w:r>
              <w:rPr>
                <w:rFonts w:ascii="宋体" w:hAnsi="宋体" w:cs="宋体"/>
                <w:color w:val="000000"/>
                <w:kern w:val="21"/>
                <w:szCs w:val="21"/>
              </w:rPr>
              <w:t>2</w:t>
            </w:r>
            <w:r>
              <w:rPr>
                <w:rFonts w:hint="eastAsia" w:ascii="宋体" w:hAnsi="宋体" w:cs="宋体"/>
                <w:color w:val="000000"/>
                <w:kern w:val="21"/>
                <w:szCs w:val="21"/>
              </w:rPr>
              <w:t>）未能及时制止在非吸烟区吸烟者。</w:t>
            </w:r>
          </w:p>
        </w:tc>
        <w:tc>
          <w:tcPr>
            <w:tcW w:w="7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tabs>
                <w:tab w:val="center" w:pos="4153"/>
                <w:tab w:val="right" w:pos="8306"/>
              </w:tabs>
              <w:snapToGrid w:val="0"/>
              <w:spacing w:line="240" w:lineRule="exact"/>
              <w:ind w:left="21" w:leftChars="10" w:right="21" w:rightChars="10"/>
              <w:jc w:val="center"/>
              <w:textAlignment w:val="center"/>
              <w:rPr>
                <w:rFonts w:ascii="宋体" w:hAnsi="宋体" w:cs="宋体"/>
                <w:color w:val="000000"/>
                <w:szCs w:val="21"/>
              </w:rPr>
            </w:pPr>
            <w:r>
              <w:rPr>
                <w:rFonts w:ascii="宋体" w:hAnsi="宋体" w:cs="宋体"/>
                <w:color w:val="000000"/>
                <w:kern w:val="0"/>
                <w:szCs w:val="21"/>
              </w:rPr>
              <w:t>1</w:t>
            </w:r>
          </w:p>
        </w:tc>
      </w:tr>
    </w:tbl>
    <w:p>
      <w:pPr>
        <w:spacing w:before="72" w:beforeLines="30" w:line="28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注：★以下情形需要当场实施行政强制措施的，由监管部门另依据《食品安全法》《行政强制法》等有关规定执行。</w:t>
      </w:r>
    </w:p>
    <w:p>
      <w:pPr>
        <w:spacing w:line="28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1．造成食品安全事故、对人体健康造成严重危害的、影响较大的食品安全不良社会影响。</w:t>
      </w:r>
    </w:p>
    <w:p>
      <w:pPr>
        <w:spacing w:line="28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2．存在国家禁止生产经营的以下严重情形之一的：</w:t>
      </w:r>
    </w:p>
    <w:p>
      <w:pPr>
        <w:spacing w:line="28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（1）用非食品原料或添加食品添加剂以外的化学物质和其他可能危害人体健康物质加工食品，或用回收食品作为原料生产的食品；</w:t>
      </w:r>
    </w:p>
    <w:p>
      <w:pPr>
        <w:spacing w:line="28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（2）食品用病死、毒死或死因不明的禽、畜、兽、水产动物肉类及其制品；</w:t>
      </w:r>
    </w:p>
    <w:p>
      <w:pPr>
        <w:spacing w:line="280" w:lineRule="exact"/>
        <w:ind w:firstLine="420" w:firstLineChars="200"/>
        <w:rPr>
          <w:rFonts w:hint="eastAsia" w:ascii="楷体_GB2312" w:hAnsi="宋体" w:eastAsia="楷体_GB2312" w:cs="宋体"/>
          <w:color w:val="000000"/>
          <w:szCs w:val="21"/>
        </w:rPr>
      </w:pPr>
      <w:r>
        <w:rPr>
          <w:rFonts w:hint="eastAsia" w:ascii="楷体_GB2312" w:hAnsi="宋体" w:eastAsia="楷体_GB2312" w:cs="宋体"/>
          <w:color w:val="000000"/>
          <w:szCs w:val="21"/>
        </w:rPr>
        <w:t>（3）未按规定进行检疫或经检疫不合格的肉类或肉类制品及其他国家明令禁止生产经营的食品及原料（药品、非允许的河豚鱼品种等）。</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207AA"/>
    <w:rsid w:val="06C20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name="header"/>
    <w:lsdException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2019-12-23T02:49:00Z</dcterms:created>
  <dc:creator>Jus</dc:creator>
  <cp:lastModifiedBy>Jus</cp:lastModifiedBy>
  <dcterms:modified xsi:type="dcterms:W3CDTF">2019-12-23T02:49:56Z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